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1F4E79" w:val="clear"/>
            <w:tcMar>
              <w:top w:type="dxa" w:w="400"/>
              <w:left w:type="dxa" w:w="400"/>
              <w:bottom w:type="dxa" w:w="400"/>
              <w:right w:type="dxa" w:w="400"/>
            </w:tcMar>
          </w:tcPr>
          <w:p>
            <w:pPr>
              <w:spacing w:before="80" w:after="40"/>
              <w:jc w:val="center"/>
            </w:pPr>
            <w:r>
              <w:rPr>
                <w:rFonts w:ascii="Arial" w:cs="Arial" w:eastAsia="Arial" w:hAnsi="Arial"/>
                <w:b/>
                <w:bCs/>
                <w:color w:val="AAAAAA"/>
                <w:sz w:val="22"/>
                <w:szCs w:val="22"/>
              </w:rPr>
              <w:t xml:space="preserve">CORSO ANTICORRUZIONE E TRASPARENZA</w:t>
            </w:r>
          </w:p>
          <w:p>
            <w:pPr>
              <w:spacing w:before="40" w:after="40"/>
              <w:jc w:val="center"/>
            </w:pPr>
            <w:r>
              <w:rPr>
                <w:rFonts w:ascii="Arial" w:cs="Arial" w:eastAsia="Arial" w:hAnsi="Arial"/>
                <w:b/>
                <w:bCs/>
                <w:color w:val="AAAAAA"/>
                <w:sz w:val="22"/>
                <w:szCs w:val="22"/>
              </w:rPr>
              <w:t xml:space="preserve">NELLA PUBBLICA AMMINISTRAZIONE</w:t>
            </w:r>
          </w:p>
          <w:p>
            <w:pPr>
              <w:spacing w:before="80" w:after="80"/>
              <w:jc w:val="center"/>
            </w:pPr>
            <w:r>
              <w:rPr>
                <w:rFonts w:ascii="Arial" w:cs="Arial" w:eastAsia="Arial" w:hAnsi="Arial"/>
                <w:b/>
                <w:bCs/>
                <w:color w:val="FFFFFF"/>
                <w:sz w:val="48"/>
                <w:szCs w:val="48"/>
              </w:rPr>
              <w:t xml:space="preserve">MODULO 3</w:t>
            </w:r>
          </w:p>
          <w:p>
            <w:pPr>
              <w:spacing w:before="40" w:after="40"/>
              <w:jc w:val="center"/>
            </w:pPr>
            <w:r>
              <w:rPr>
                <w:rFonts w:ascii="Arial" w:cs="Arial" w:eastAsia="Arial" w:hAnsi="Arial"/>
                <w:b/>
                <w:bCs/>
                <w:color w:val="7FC4E1"/>
                <w:sz w:val="32"/>
                <w:szCs w:val="32"/>
              </w:rPr>
              <w:t xml:space="preserve">Organizzazione e Governance Anticorruzione</w:t>
            </w:r>
          </w:p>
          <w:p>
            <w:pPr>
              <w:spacing w:before="100" w:after="40"/>
              <w:jc w:val="center"/>
            </w:pPr>
            <w:r>
              <w:rPr>
                <w:rFonts w:ascii="Arial" w:cs="Arial" w:eastAsia="Arial" w:hAnsi="Arial"/>
                <w:color w:val="AAAAAA"/>
                <w:sz w:val="20"/>
                <w:szCs w:val="20"/>
              </w:rPr>
              <w:t xml:space="preserve">Durata: 5 ore  |  Destinatari: Dirigenti e Funzionari Apicali</w:t>
            </w:r>
          </w:p>
        </w:tc>
      </w:tr>
    </w:tbl>
    <w:p>
      <w:pPr>
        <w:spacing w:before="160" w:after="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3319"/>
        <w:gridCol w:w="3319"/>
      </w:tblGrid>
      <w:tr>
        <w:tc>
          <w:tcPr>
            <w:tcW w:type="dxa" w:w="3000"/>
            <w:tcBorders>
              <w:top w:val="single" w:color="CCCCCC" w:sz="1"/>
              <w:left w:val="single" w:color="CCCCCC" w:sz="1"/>
              <w:bottom w:val="single" w:color="CCCCCC" w:sz="1"/>
              <w:right w:val="single" w:color="CCCCCC" w:sz="1"/>
            </w:tcBorders>
            <w:shd w:fill="2E75B6" w:val="clear"/>
            <w:tcMar>
              <w:top w:type="dxa" w:w="120"/>
              <w:left w:type="dxa" w:w="160"/>
              <w:bottom w:type="dxa" w:w="120"/>
              <w:right w:type="dxa" w:w="160"/>
            </w:tcMar>
          </w:tcPr>
          <w:p>
            <w:pPr>
              <w:jc w:val="center"/>
            </w:pPr>
            <w:r>
              <w:rPr>
                <w:rFonts w:ascii="Arial" w:cs="Arial" w:eastAsia="Arial" w:hAnsi="Arial"/>
                <w:b/>
                <w:bCs/>
                <w:color w:val="FFFFFF"/>
                <w:sz w:val="22"/>
                <w:szCs w:val="22"/>
              </w:rPr>
              <w:t xml:space="preserve">STRUTTURA DEL MODULO</w:t>
            </w:r>
          </w:p>
        </w:tc>
        <w:tc>
          <w:tcPr>
            <w:tcW w:type="dxa" w:w="3319"/>
            <w:tcBorders>
              <w:top w:val="single" w:color="CCCCCC" w:sz="1"/>
              <w:left w:val="single" w:color="CCCCCC" w:sz="1"/>
              <w:bottom w:val="single" w:color="CCCCCC" w:sz="1"/>
              <w:right w:val="single" w:color="CCCCCC" w:sz="1"/>
            </w:tcBorders>
            <w:shd w:fill="2E75B6" w:val="clear"/>
            <w:tcMar>
              <w:top w:type="dxa" w:w="120"/>
              <w:left w:type="dxa" w:w="160"/>
              <w:bottom w:type="dxa" w:w="120"/>
              <w:right w:type="dxa" w:w="160"/>
            </w:tcMar>
          </w:tcPr>
          <w:p>
            <w:pPr>
              <w:jc w:val="center"/>
            </w:pPr>
            <w:r>
              <w:rPr>
                <w:rFonts w:ascii="Arial" w:cs="Arial" w:eastAsia="Arial" w:hAnsi="Arial"/>
                <w:b/>
                <w:bCs/>
                <w:color w:val="FFFFFF"/>
                <w:sz w:val="22"/>
                <w:szCs w:val="22"/>
              </w:rPr>
              <w:t xml:space="preserve">METODOLOGIA</w:t>
            </w:r>
          </w:p>
        </w:tc>
        <w:tc>
          <w:tcPr>
            <w:tcW w:type="dxa" w:w="3319"/>
            <w:tcBorders>
              <w:top w:val="single" w:color="CCCCCC" w:sz="1"/>
              <w:left w:val="single" w:color="CCCCCC" w:sz="1"/>
              <w:bottom w:val="single" w:color="CCCCCC" w:sz="1"/>
              <w:right w:val="single" w:color="CCCCCC" w:sz="1"/>
            </w:tcBorders>
            <w:shd w:fill="2E75B6" w:val="clear"/>
            <w:tcMar>
              <w:top w:type="dxa" w:w="120"/>
              <w:left w:type="dxa" w:w="160"/>
              <w:bottom w:type="dxa" w:w="120"/>
              <w:right w:type="dxa" w:w="160"/>
            </w:tcMar>
          </w:tcPr>
          <w:p>
            <w:pPr>
              <w:jc w:val="center"/>
            </w:pPr>
            <w:r>
              <w:rPr>
                <w:rFonts w:ascii="Arial" w:cs="Arial" w:eastAsia="Arial" w:hAnsi="Arial"/>
                <w:b/>
                <w:bCs/>
                <w:color w:val="FFFFFF"/>
                <w:sz w:val="22"/>
                <w:szCs w:val="22"/>
              </w:rPr>
              <w:t xml:space="preserve">RIFERIMENTI NORMATIVI</w:t>
            </w:r>
          </w:p>
        </w:tc>
      </w:tr>
      <w:tr>
        <w:tc>
          <w:tcPr>
            <w:tcW w:type="dxa" w:w="3000"/>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pStyle w:val="ListParagraph"/>
              <w:numPr>
                <w:ilvl w:val="0"/>
                <w:numId w:val="2"/>
              </w:numPr>
              <w:spacing w:before="60" w:after="60"/>
            </w:pPr>
            <w:r>
              <w:rPr>
                <w:rFonts w:ascii="Arial" w:cs="Arial" w:eastAsia="Arial" w:hAnsi="Arial"/>
                <w:color w:val="000000"/>
                <w:sz w:val="22"/>
                <w:szCs w:val="22"/>
              </w:rPr>
              <w:t xml:space="preserve">3.1 I soggetti (2 ore)</w:t>
            </w:r>
          </w:p>
          <w:p>
            <w:pPr>
              <w:pStyle w:val="ListParagraph"/>
              <w:numPr>
                <w:ilvl w:val="0"/>
                <w:numId w:val="2"/>
              </w:numPr>
              <w:spacing w:before="60" w:after="60"/>
            </w:pPr>
            <w:r>
              <w:rPr>
                <w:rFonts w:ascii="Arial" w:cs="Arial" w:eastAsia="Arial" w:hAnsi="Arial"/>
                <w:color w:val="000000"/>
                <w:sz w:val="22"/>
                <w:szCs w:val="22"/>
              </w:rPr>
              <w:t xml:space="preserve">3.2 Strumenti di programmazione (2 ore)</w:t>
            </w:r>
          </w:p>
          <w:p>
            <w:pPr>
              <w:pStyle w:val="ListParagraph"/>
              <w:numPr>
                <w:ilvl w:val="0"/>
                <w:numId w:val="2"/>
              </w:numPr>
              <w:spacing w:before="60" w:after="60"/>
            </w:pPr>
            <w:r>
              <w:rPr>
                <w:rFonts w:ascii="Arial" w:cs="Arial" w:eastAsia="Arial" w:hAnsi="Arial"/>
                <w:color w:val="000000"/>
                <w:sz w:val="22"/>
                <w:szCs w:val="22"/>
              </w:rPr>
              <w:t xml:space="preserve">3.3 Laboratorio PTPCT/PIAO (1 ora)</w:t>
            </w:r>
          </w:p>
        </w:tc>
        <w:tc>
          <w:tcPr>
            <w:tcW w:type="dxa" w:w="3319"/>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pStyle w:val="ListParagraph"/>
              <w:numPr>
                <w:ilvl w:val="0"/>
                <w:numId w:val="2"/>
              </w:numPr>
              <w:spacing w:before="60" w:after="60"/>
            </w:pPr>
            <w:r>
              <w:rPr>
                <w:rFonts w:ascii="Arial" w:cs="Arial" w:eastAsia="Arial" w:hAnsi="Arial"/>
                <w:color w:val="000000"/>
                <w:sz w:val="22"/>
                <w:szCs w:val="22"/>
              </w:rPr>
              <w:t xml:space="preserve">Lezione frontale</w:t>
            </w:r>
          </w:p>
          <w:p>
            <w:pPr>
              <w:pStyle w:val="ListParagraph"/>
              <w:numPr>
                <w:ilvl w:val="0"/>
                <w:numId w:val="2"/>
              </w:numPr>
              <w:spacing w:before="60" w:after="60"/>
            </w:pPr>
            <w:r>
              <w:rPr>
                <w:rFonts w:ascii="Arial" w:cs="Arial" w:eastAsia="Arial" w:hAnsi="Arial"/>
                <w:color w:val="000000"/>
                <w:sz w:val="22"/>
                <w:szCs w:val="22"/>
              </w:rPr>
              <w:t xml:space="preserve">Analisi di casi</w:t>
            </w:r>
          </w:p>
          <w:p>
            <w:pPr>
              <w:pStyle w:val="ListParagraph"/>
              <w:numPr>
                <w:ilvl w:val="0"/>
                <w:numId w:val="2"/>
              </w:numPr>
              <w:spacing w:before="60" w:after="60"/>
            </w:pPr>
            <w:r>
              <w:rPr>
                <w:rFonts w:ascii="Arial" w:cs="Arial" w:eastAsia="Arial" w:hAnsi="Arial"/>
                <w:color w:val="000000"/>
                <w:sz w:val="22"/>
                <w:szCs w:val="22"/>
              </w:rPr>
              <w:t xml:space="preserve">Workshop di gruppo</w:t>
            </w:r>
          </w:p>
          <w:p>
            <w:pPr>
              <w:pStyle w:val="ListParagraph"/>
              <w:numPr>
                <w:ilvl w:val="0"/>
                <w:numId w:val="2"/>
              </w:numPr>
              <w:spacing w:before="60" w:after="60"/>
            </w:pPr>
            <w:r>
              <w:rPr>
                <w:rFonts w:ascii="Arial" w:cs="Arial" w:eastAsia="Arial" w:hAnsi="Arial"/>
                <w:color w:val="000000"/>
                <w:sz w:val="22"/>
                <w:szCs w:val="22"/>
              </w:rPr>
              <w:t xml:space="preserve">Discussione plenaria</w:t>
            </w:r>
          </w:p>
        </w:tc>
        <w:tc>
          <w:tcPr>
            <w:tcW w:type="dxa" w:w="3319"/>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pStyle w:val="ListParagraph"/>
              <w:numPr>
                <w:ilvl w:val="0"/>
                <w:numId w:val="2"/>
              </w:numPr>
              <w:spacing w:before="60" w:after="60"/>
            </w:pPr>
            <w:r>
              <w:rPr>
                <w:rFonts w:ascii="Arial" w:cs="Arial" w:eastAsia="Arial" w:hAnsi="Arial"/>
                <w:color w:val="000000"/>
                <w:sz w:val="22"/>
                <w:szCs w:val="22"/>
              </w:rPr>
              <w:t xml:space="preserve">L. 190/2012</w:t>
            </w:r>
          </w:p>
          <w:p>
            <w:pPr>
              <w:pStyle w:val="ListParagraph"/>
              <w:numPr>
                <w:ilvl w:val="0"/>
                <w:numId w:val="2"/>
              </w:numPr>
              <w:spacing w:before="60" w:after="60"/>
            </w:pPr>
            <w:r>
              <w:rPr>
                <w:rFonts w:ascii="Arial" w:cs="Arial" w:eastAsia="Arial" w:hAnsi="Arial"/>
                <w:color w:val="000000"/>
                <w:sz w:val="22"/>
                <w:szCs w:val="22"/>
              </w:rPr>
              <w:t xml:space="preserve">D.Lgs. 33/2013</w:t>
            </w:r>
          </w:p>
          <w:p>
            <w:pPr>
              <w:pStyle w:val="ListParagraph"/>
              <w:numPr>
                <w:ilvl w:val="0"/>
                <w:numId w:val="2"/>
              </w:numPr>
              <w:spacing w:before="60" w:after="60"/>
            </w:pPr>
            <w:r>
              <w:rPr>
                <w:rFonts w:ascii="Arial" w:cs="Arial" w:eastAsia="Arial" w:hAnsi="Arial"/>
                <w:color w:val="000000"/>
                <w:sz w:val="22"/>
                <w:szCs w:val="22"/>
              </w:rPr>
              <w:t xml:space="preserve">D.L. 80/2021 (PIAO)</w:t>
            </w:r>
          </w:p>
          <w:p>
            <w:pPr>
              <w:pStyle w:val="ListParagraph"/>
              <w:numPr>
                <w:ilvl w:val="0"/>
                <w:numId w:val="2"/>
              </w:numPr>
              <w:spacing w:before="60" w:after="60"/>
            </w:pPr>
            <w:r>
              <w:rPr>
                <w:rFonts w:ascii="Arial" w:cs="Arial" w:eastAsia="Arial" w:hAnsi="Arial"/>
                <w:color w:val="000000"/>
                <w:sz w:val="22"/>
                <w:szCs w:val="22"/>
              </w:rPr>
              <w:t xml:space="preserve">PNA 2025 - Delib. n. 19/2026</w:t>
            </w:r>
          </w:p>
        </w:tc>
      </w:tr>
    </w:tbl>
    <w:p>
      <w:pPr>
        <w:spacing w:before="200" w:after="0"/>
      </w:pPr>
      <w:r>
        <w:t xml:space="preserve"/>
      </w:r>
    </w:p>
    <w:p>
      <w:pPr>
        <w:shd w:fill="1F4E79" w:val="clear"/>
        <w:spacing w:before="280" w:after="100"/>
      </w:pPr>
      <w:r>
        <w:rPr>
          <w:rFonts w:ascii="Arial" w:cs="Arial" w:eastAsia="Arial" w:hAnsi="Arial"/>
          <w:b/>
          <w:bCs/>
          <w:color w:val="FFFFFF"/>
          <w:sz w:val="26"/>
          <w:szCs w:val="26"/>
        </w:rPr>
        <w:t xml:space="preserve">  SEZIONE 3.1 | I SOGGETTI DEL SISTEMA ANTICORRUZIONE  (2 ore)</w:t>
      </w:r>
    </w:p>
    <w:p>
      <w:pPr>
        <w:spacing w:before="100" w:after="0"/>
      </w:pPr>
      <w:r>
        <w:t xml:space="preserve"/>
      </w:r>
    </w:p>
    <w:p>
      <w:pPr>
        <w:spacing w:before="100" w:after="120" w:line="276"/>
        <w:jc w:val="both"/>
      </w:pPr>
      <w:r>
        <w:rPr>
          <w:rFonts w:ascii="Arial" w:cs="Arial" w:eastAsia="Arial" w:hAnsi="Arial"/>
          <w:b w:val="false"/>
          <w:bCs w:val="false"/>
          <w:i w:val="false"/>
          <w:iCs w:val="false"/>
          <w:color w:val="000000"/>
          <w:sz w:val="22"/>
          <w:szCs w:val="22"/>
        </w:rPr>
        <w:t xml:space="preserve">Il sistema di prevenzione della corruzione si basa su una rete articolata di soggetti, ciascuno con ruoli, funzioni e responsabilità specifiche, tra loro interdipendenti. La comprensione di questa architettura istituzionale è presupposto indispensabile per ogni dirigente che voglia operare correttamente nel rispetto delle norme anticorruzione.</w:t>
      </w:r>
    </w:p>
    <w:p>
      <w:pPr>
        <w:spacing w:before="80" w:after="0"/>
      </w:pPr>
      <w:r>
        <w:t xml:space="preserve"/>
      </w:r>
    </w:p>
    <w:p>
      <w:pPr>
        <w:pBdr>
          <w:bottom w:val="single" w:color="2E75B6" w:sz="4"/>
        </w:pBdr>
        <w:spacing w:before="200" w:after="80"/>
      </w:pPr>
      <w:r>
        <w:rPr>
          <w:rFonts w:ascii="Arial" w:cs="Arial" w:eastAsia="Arial" w:hAnsi="Arial"/>
          <w:b/>
          <w:bCs/>
          <w:color w:val="1F4E79"/>
          <w:sz w:val="24"/>
          <w:szCs w:val="24"/>
        </w:rPr>
        <w:t xml:space="preserve">A) L'Autorità Nazionale Anticorruzione (ANAC)</w:t>
      </w:r>
    </w:p>
    <w:p>
      <w:pPr>
        <w:spacing w:before="80" w:after="100" w:line="276"/>
        <w:jc w:val="both"/>
      </w:pPr>
      <w:r>
        <w:rPr>
          <w:rFonts w:ascii="Arial" w:cs="Arial" w:eastAsia="Arial" w:hAnsi="Arial"/>
          <w:b w:val="false"/>
          <w:bCs w:val="false"/>
          <w:i w:val="false"/>
          <w:iCs w:val="false"/>
          <w:color w:val="000000"/>
          <w:sz w:val="22"/>
          <w:szCs w:val="22"/>
        </w:rPr>
        <w:t xml:space="preserve">L'ANAC è l'organo di vertice del sistema nazionale di prevenzione della corruzione, istituita dal D.L. 101/2013 e potenziata dalla L. 114/2014. Opera in piena indipendenza dal Governo e dalle pubbliche amministrazioni vigilate.</w:t>
      </w:r>
    </w:p>
    <w:p>
      <w:pPr>
        <w:spacing w:before="80" w:after="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rPr>
          <w:tblHeader/>
        </w:trPr>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Area di intervento</w:t>
            </w:r>
          </w:p>
        </w:tc>
        <w:tc>
          <w:tcPr>
            <w:tcW w:type="dxa" w:w="723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Contenuti e poteri</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Natura e composizione</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Autorità amministrativa indipendente; Presidente e 4 Consiglieri nominati con procedura parlamentare; durata in carica 6 anni, non rinnovabili</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Funzione regolatoria</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Adozione del Piano Nazionale Anticorruzione (PNA); emanazione di linee guida, atti di indirizzo, comunicati; bandi-tipo e contratti-tipo per i contratti pubblici</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Vigilanza e controllo</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Ispezioni presso le PA; richiesta di atti, notizie e documenti; audizioni; poteri di accertamento e di irrogazione di sanzioni amministrative pecuniarie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Vigilanza collaborativa</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Protocolli di intesa con le PA per supporto preventivo nella gestione dei rischi corruttivi; vigilanza su contratti pubblici ad alto rischio</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Potere sanzionatorio</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Sanzioni per violazione obblighi di trasparenza (D.Lgs. 33/2013); sanzioni in materia di inconferibilità e incompatibilità; sanzioni per violazione norme whistleblowing</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Pubblicazioni recenti</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PNA 2025 - Delib. n. 19/2026 (28 gen. 2026); Aggiornamento 2024 PNA 2022 - Delib. n. 31/2025; Linee guida pantouflage - Delib. n. 493/2024</w:t>
            </w:r>
          </w:p>
        </w:tc>
      </w:tr>
    </w:tbl>
    <w:p>
      <w:pPr>
        <w:spacing w:before="1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8"/>
              <w:bottom w:val="single" w:color="2E75B6" w:sz="1"/>
              <w:right w:val="none" w:color="FFFFFF" w:sz="0"/>
            </w:tcBorders>
            <w:shd w:fill="EBF3FB" w:val="clear"/>
            <w:tcMar>
              <w:top w:type="dxa" w:w="100"/>
              <w:left w:type="dxa" w:w="160"/>
              <w:bottom w:type="dxa" w:w="100"/>
              <w:right w:type="dxa" w:w="160"/>
            </w:tcMar>
          </w:tcPr>
          <w:p>
            <w:pPr>
              <w:spacing w:before="40" w:after="60"/>
            </w:pPr>
            <w:r>
              <w:rPr>
                <w:rFonts w:ascii="Arial" w:cs="Arial" w:eastAsia="Arial" w:hAnsi="Arial"/>
                <w:b/>
                <w:bCs/>
                <w:color w:val="1F4E79"/>
                <w:sz w:val="22"/>
                <w:szCs w:val="22"/>
              </w:rPr>
              <w:t xml:space="preserve">Novita normativa: PNA 2025 (Delibera ANAC n. 19 del 28 gennaio 2026)</w:t>
            </w:r>
          </w:p>
          <w:p>
            <w:pPr>
              <w:spacing w:before="40" w:after="40"/>
              <w:jc w:val="both"/>
            </w:pPr>
            <w:r>
              <w:rPr>
                <w:rFonts w:ascii="Arial" w:cs="Arial" w:eastAsia="Arial" w:hAnsi="Arial"/>
                <w:color w:val="000000"/>
                <w:sz w:val="21"/>
                <w:szCs w:val="21"/>
              </w:rPr>
              <w:t xml:space="preserve">Con Delibera n. 19 del 28 gennaio 2026, il Consiglio ANAC ha definitivamente approvato il Piano Nazionale Anticorruzione 2025 (PNA 2025). Per la prima volta nella storia della normativa anticorruzione italiana, il PNA presenta una vera e propria "Strategia Nazionale Anticorruzione" riferita al triennio 2026-2028, articolata in 6 linee strategiche, 12 obiettivi, 31 azioni concrete con risultati attesi, indicatori e target annuali. Il Piano ha ottenuto i pareri del Comitato interministeriale e della Conferenza unificata Stato-Regioni-Autonomie locali. Rif: anticorruzione.it</w:t>
            </w:r>
          </w:p>
        </w:tc>
      </w:tr>
    </w:tbl>
    <w:p>
      <w:pPr>
        <w:spacing w:before="120" w:after="0"/>
      </w:pPr>
      <w:r>
        <w:t xml:space="preserve"/>
      </w:r>
    </w:p>
    <w:p>
      <w:pPr>
        <w:pBdr>
          <w:bottom w:val="single" w:color="2E75B6" w:sz="4"/>
        </w:pBdr>
        <w:spacing w:before="200" w:after="80"/>
      </w:pPr>
      <w:r>
        <w:rPr>
          <w:rFonts w:ascii="Arial" w:cs="Arial" w:eastAsia="Arial" w:hAnsi="Arial"/>
          <w:b/>
          <w:bCs/>
          <w:color w:val="1F4E79"/>
          <w:sz w:val="24"/>
          <w:szCs w:val="24"/>
        </w:rPr>
        <w:t xml:space="preserve">B) Il Responsabile della Prevenzione della Corruzione e della Trasparenza (RPCT)</w:t>
      </w:r>
    </w:p>
    <w:p>
      <w:pPr>
        <w:spacing w:before="80" w:after="100" w:line="276"/>
        <w:jc w:val="both"/>
      </w:pPr>
      <w:r>
        <w:rPr>
          <w:rFonts w:ascii="Arial" w:cs="Arial" w:eastAsia="Arial" w:hAnsi="Arial"/>
          <w:b w:val="false"/>
          <w:bCs w:val="false"/>
          <w:i w:val="false"/>
          <w:iCs w:val="false"/>
          <w:color w:val="000000"/>
          <w:sz w:val="22"/>
          <w:szCs w:val="22"/>
        </w:rPr>
        <w:t xml:space="preserve">Il RPCT rappresenta la figura cardine del sistema di prevenzione a livello di singola amministrazione. Il suo ruolo è stato significativamente potenziato dal D.Lgs. 97/2016 che ha unificato in un'unica figura le funzioni di responsabile della prevenzione della corruzione e responsabile per la trasparenza.</w:t>
      </w:r>
    </w:p>
    <w:p>
      <w:pPr>
        <w:spacing w:before="80" w:after="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rPr>
          <w:tblHeader/>
        </w:trPr>
        <w:tc>
          <w:tcPr>
            <w:tcW w:type="dxa" w:w="4819"/>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Profilo e nomina</w:t>
            </w:r>
          </w:p>
        </w:tc>
        <w:tc>
          <w:tcPr>
            <w:tcW w:type="dxa" w:w="4819"/>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Compiti e responsabilita</w:t>
            </w:r>
          </w:p>
        </w:tc>
      </w:tr>
      <w:tr>
        <w:tc>
          <w:tcPr>
            <w:tcW w:type="dxa" w:w="4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before="60" w:after="60"/>
            </w:pPr>
            <w:r>
              <w:rPr>
                <w:rFonts w:ascii="Arial" w:cs="Arial" w:eastAsia="Arial" w:hAnsi="Arial"/>
                <w:color w:val="000000"/>
                <w:sz w:val="22"/>
                <w:szCs w:val="22"/>
              </w:rPr>
              <w:t xml:space="preserve">Dirigente di ruolo dell'ente, preferibilmente di prima fascia</w:t>
            </w:r>
          </w:p>
          <w:p>
            <w:pPr>
              <w:pStyle w:val="ListParagraph"/>
              <w:numPr>
                <w:ilvl w:val="0"/>
                <w:numId w:val="2"/>
              </w:numPr>
              <w:spacing w:before="60" w:after="60"/>
            </w:pPr>
            <w:r>
              <w:rPr>
                <w:rFonts w:ascii="Arial" w:cs="Arial" w:eastAsia="Arial" w:hAnsi="Arial"/>
                <w:color w:val="000000"/>
                <w:sz w:val="22"/>
                <w:szCs w:val="22"/>
              </w:rPr>
              <w:t xml:space="preserve">Nomina con provvedimento dell'organo di indirizzo politico-amministrativo</w:t>
            </w:r>
          </w:p>
          <w:p>
            <w:pPr>
              <w:pStyle w:val="ListParagraph"/>
              <w:numPr>
                <w:ilvl w:val="0"/>
                <w:numId w:val="2"/>
              </w:numPr>
              <w:spacing w:before="60" w:after="60"/>
            </w:pPr>
            <w:r>
              <w:rPr>
                <w:rFonts w:ascii="Arial" w:cs="Arial" w:eastAsia="Arial" w:hAnsi="Arial"/>
                <w:color w:val="000000"/>
                <w:sz w:val="22"/>
                <w:szCs w:val="22"/>
              </w:rPr>
              <w:t xml:space="preserve">Comunicazione della nomina ad ANAC tramite piattaforma telematica</w:t>
            </w:r>
          </w:p>
          <w:p>
            <w:pPr>
              <w:pStyle w:val="ListParagraph"/>
              <w:numPr>
                <w:ilvl w:val="0"/>
                <w:numId w:val="2"/>
              </w:numPr>
              <w:spacing w:before="60" w:after="60"/>
            </w:pPr>
            <w:r>
              <w:rPr>
                <w:rFonts w:ascii="Arial" w:cs="Arial" w:eastAsia="Arial" w:hAnsi="Arial"/>
                <w:color w:val="000000"/>
                <w:sz w:val="22"/>
                <w:szCs w:val="22"/>
              </w:rPr>
              <w:t xml:space="preserve">Pubblicazione dell'atto di nomina nell'Amministrazione Trasparente</w:t>
            </w:r>
          </w:p>
          <w:p>
            <w:pPr>
              <w:pStyle w:val="ListParagraph"/>
              <w:numPr>
                <w:ilvl w:val="0"/>
                <w:numId w:val="2"/>
              </w:numPr>
              <w:spacing w:before="60" w:after="60"/>
            </w:pPr>
            <w:r>
              <w:rPr>
                <w:rFonts w:ascii="Arial" w:cs="Arial" w:eastAsia="Arial" w:hAnsi="Arial"/>
                <w:color w:val="000000"/>
                <w:sz w:val="22"/>
                <w:szCs w:val="22"/>
              </w:rPr>
              <w:t xml:space="preserve">Garanzie di autonomia: risorse adeguate, accesso a tutte le informazioni</w:t>
            </w:r>
          </w:p>
          <w:p>
            <w:pPr>
              <w:pStyle w:val="ListParagraph"/>
              <w:numPr>
                <w:ilvl w:val="0"/>
                <w:numId w:val="2"/>
              </w:numPr>
              <w:spacing w:before="60" w:after="60"/>
            </w:pPr>
            <w:r>
              <w:rPr>
                <w:rFonts w:ascii="Arial" w:cs="Arial" w:eastAsia="Arial" w:hAnsi="Arial"/>
                <w:color w:val="000000"/>
                <w:sz w:val="22"/>
                <w:szCs w:val="22"/>
              </w:rPr>
              <w:t xml:space="preserve">Rapporto diretto con l'organo di indirizzo e accountability annuale</w:t>
            </w:r>
          </w:p>
        </w:tc>
        <w:tc>
          <w:tcPr>
            <w:tcW w:type="dxa" w:w="4819"/>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pPr>
              <w:pStyle w:val="ListParagraph"/>
              <w:numPr>
                <w:ilvl w:val="0"/>
                <w:numId w:val="2"/>
              </w:numPr>
              <w:spacing w:before="60" w:after="60"/>
            </w:pPr>
            <w:r>
              <w:rPr>
                <w:rFonts w:ascii="Arial" w:cs="Arial" w:eastAsia="Arial" w:hAnsi="Arial"/>
                <w:color w:val="000000"/>
                <w:sz w:val="22"/>
                <w:szCs w:val="22"/>
              </w:rPr>
              <w:t xml:space="preserve">Elabora e aggiorna il PTPCT (o la sottosezione PIAO)</w:t>
            </w:r>
          </w:p>
          <w:p>
            <w:pPr>
              <w:pStyle w:val="ListParagraph"/>
              <w:numPr>
                <w:ilvl w:val="0"/>
                <w:numId w:val="2"/>
              </w:numPr>
              <w:spacing w:before="60" w:after="60"/>
            </w:pPr>
            <w:r>
              <w:rPr>
                <w:rFonts w:ascii="Arial" w:cs="Arial" w:eastAsia="Arial" w:hAnsi="Arial"/>
                <w:color w:val="000000"/>
                <w:sz w:val="22"/>
                <w:szCs w:val="22"/>
              </w:rPr>
              <w:t xml:space="preserve">Segnala all'organo di indirizzo le disfunzioni nel sistema</w:t>
            </w:r>
          </w:p>
          <w:p>
            <w:pPr>
              <w:pStyle w:val="ListParagraph"/>
              <w:numPr>
                <w:ilvl w:val="0"/>
                <w:numId w:val="2"/>
              </w:numPr>
              <w:spacing w:before="60" w:after="60"/>
            </w:pPr>
            <w:r>
              <w:rPr>
                <w:rFonts w:ascii="Arial" w:cs="Arial" w:eastAsia="Arial" w:hAnsi="Arial"/>
                <w:color w:val="000000"/>
                <w:sz w:val="22"/>
                <w:szCs w:val="22"/>
              </w:rPr>
              <w:t xml:space="preserve">Propone misure di prevenzione e ne verifica l'attuazione</w:t>
            </w:r>
          </w:p>
          <w:p>
            <w:pPr>
              <w:pStyle w:val="ListParagraph"/>
              <w:numPr>
                <w:ilvl w:val="0"/>
                <w:numId w:val="2"/>
              </w:numPr>
              <w:spacing w:before="60" w:after="60"/>
            </w:pPr>
            <w:r>
              <w:rPr>
                <w:rFonts w:ascii="Arial" w:cs="Arial" w:eastAsia="Arial" w:hAnsi="Arial"/>
                <w:color w:val="000000"/>
                <w:sz w:val="22"/>
                <w:szCs w:val="22"/>
              </w:rPr>
              <w:t xml:space="preserve">Gestisce le segnalazioni di whistleblowing</w:t>
            </w:r>
          </w:p>
          <w:p>
            <w:pPr>
              <w:pStyle w:val="ListParagraph"/>
              <w:numPr>
                <w:ilvl w:val="0"/>
                <w:numId w:val="2"/>
              </w:numPr>
              <w:spacing w:before="60" w:after="60"/>
            </w:pPr>
            <w:r>
              <w:rPr>
                <w:rFonts w:ascii="Arial" w:cs="Arial" w:eastAsia="Arial" w:hAnsi="Arial"/>
                <w:color w:val="000000"/>
                <w:sz w:val="22"/>
                <w:szCs w:val="22"/>
              </w:rPr>
              <w:t xml:space="preserve">Cura la formazione del personale in materia anticorruzione</w:t>
            </w:r>
          </w:p>
          <w:p>
            <w:pPr>
              <w:pStyle w:val="ListParagraph"/>
              <w:numPr>
                <w:ilvl w:val="0"/>
                <w:numId w:val="2"/>
              </w:numPr>
              <w:spacing w:before="60" w:after="60"/>
            </w:pPr>
            <w:r>
              <w:rPr>
                <w:rFonts w:ascii="Arial" w:cs="Arial" w:eastAsia="Arial" w:hAnsi="Arial"/>
                <w:color w:val="000000"/>
                <w:sz w:val="22"/>
                <w:szCs w:val="22"/>
              </w:rPr>
              <w:t xml:space="preserve">Redige la relazione annuale sull'attivita svolta (entro 31 gen.)</w:t>
            </w:r>
          </w:p>
          <w:p>
            <w:pPr>
              <w:pStyle w:val="ListParagraph"/>
              <w:numPr>
                <w:ilvl w:val="0"/>
                <w:numId w:val="2"/>
              </w:numPr>
              <w:spacing w:before="60" w:after="60"/>
            </w:pPr>
            <w:r>
              <w:rPr>
                <w:rFonts w:ascii="Arial" w:cs="Arial" w:eastAsia="Arial" w:hAnsi="Arial"/>
                <w:color w:val="000000"/>
                <w:sz w:val="22"/>
                <w:szCs w:val="22"/>
              </w:rPr>
              <w:t xml:space="preserve">Risponde per la mancata attuazione delle misure (art. 1 c. 12 L. 190/2012)</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5A11" w:sz="4"/>
              <w:left w:val="single" w:color="C55A11" w:sz="8"/>
              <w:bottom w:val="single" w:color="C55A11" w:sz="1"/>
              <w:right w:val="none" w:color="FFFFFF" w:sz="0"/>
            </w:tcBorders>
            <w:shd w:fill="FFF4EE" w:val="clear"/>
            <w:tcMar>
              <w:top w:type="dxa" w:w="100"/>
              <w:left w:type="dxa" w:w="160"/>
              <w:bottom w:type="dxa" w:w="100"/>
              <w:right w:type="dxa" w:w="160"/>
            </w:tcMar>
          </w:tcPr>
          <w:p>
            <w:pPr>
              <w:spacing w:before="40" w:after="60"/>
            </w:pPr>
            <w:r>
              <w:rPr>
                <w:rFonts w:ascii="Arial" w:cs="Arial" w:eastAsia="Arial" w:hAnsi="Arial"/>
                <w:b/>
                <w:bCs/>
                <w:color w:val="C55A11"/>
                <w:sz w:val="22"/>
                <w:szCs w:val="22"/>
              </w:rPr>
              <w:t xml:space="preserve">Responsabilita specifica del RPCT (art. 1, comma 12, L. 190/2012)</w:t>
            </w:r>
          </w:p>
          <w:p>
            <w:pPr>
              <w:spacing w:before="40" w:after="40"/>
              <w:jc w:val="both"/>
            </w:pPr>
            <w:r>
              <w:rPr>
                <w:rFonts w:ascii="Arial" w:cs="Arial" w:eastAsia="Arial" w:hAnsi="Arial"/>
                <w:color w:val="000000"/>
                <w:sz w:val="21"/>
                <w:szCs w:val="21"/>
              </w:rPr>
              <w:t xml:space="preserve">In caso di commissione di reati di corruzione all'interno dell'amministrazione, il RPCT risponde sul piano dirigenziale e disciplinare, a meno che provi di aver predisposto, prima della commissione del fatto, il piano di prevenzione e di aver vigilato sul funzionamento e sull'osservanza del piano. La prova liberatoria richiede documentazione rigorosa di ogni attivita svolta.</w:t>
            </w:r>
          </w:p>
        </w:tc>
      </w:tr>
    </w:tbl>
    <w:p>
      <w:pPr>
        <w:spacing w:before="120" w:after="0"/>
      </w:pPr>
      <w:r>
        <w:t xml:space="preserve"/>
      </w:r>
    </w:p>
    <w:p>
      <w:pPr>
        <w:pBdr>
          <w:bottom w:val="single" w:color="2E75B6" w:sz="4"/>
        </w:pBdr>
        <w:spacing w:before="200" w:after="80"/>
      </w:pPr>
      <w:r>
        <w:rPr>
          <w:rFonts w:ascii="Arial" w:cs="Arial" w:eastAsia="Arial" w:hAnsi="Arial"/>
          <w:b/>
          <w:bCs/>
          <w:color w:val="1F4E79"/>
          <w:sz w:val="24"/>
          <w:szCs w:val="24"/>
        </w:rPr>
        <w:t xml:space="preserve">C) Gli altri soggetti del sistema</w:t>
      </w:r>
    </w:p>
    <w:p>
      <w:pPr>
        <w:spacing w:before="60" w:after="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00"/>
        <w:gridCol w:w="7038"/>
      </w:tblGrid>
      <w:tr>
        <w:trPr>
          <w:tblHeader/>
        </w:trPr>
        <w:tc>
          <w:tcPr>
            <w:tcW w:type="dxa" w:w="2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Soggetto</w:t>
            </w:r>
          </w:p>
        </w:tc>
        <w:tc>
          <w:tcPr>
            <w:tcW w:type="dxa" w:w="703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Ruolo nel sistema anticorruzione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Organo di indirizzo politico-amministrativo</w:t>
            </w:r>
          </w:p>
        </w:tc>
        <w:tc>
          <w:tcPr>
            <w:tcW w:type="dxa" w:w="70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Nomina il RPCT; adotta il PTPCT o la sottosezione del PIAO; definisce gli obiettivi strategici in materia di prevenzione; approva il codice di comportamento integrativo</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OIV - Organismo Indipendente di Valutazione</w:t>
            </w:r>
          </w:p>
        </w:tc>
        <w:tc>
          <w:tcPr>
            <w:tcW w:type="dxa" w:w="70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Attesta l'assolvimento degli obblighi di pubblicazione (15 luglio di ogni anno); partecipa al processo di gestione del rischio; verifica la coerenza tra PTPCT e sistema di misurazione della performance; controlla i flussi informativi verso il RPCT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Referenti anticorruzione</w:t>
            </w:r>
          </w:p>
        </w:tc>
        <w:tc>
          <w:tcPr>
            <w:tcW w:type="dxa" w:w="70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Individuati dal RPCT tra i dirigenti e funzionari degli uffici; supportano il RPCT nella mappatura dei processi, nel monitoraggio delle misure, nella raccolta e trasmissione delle informazioni</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Dipendenti e collaboratori</w:t>
            </w:r>
          </w:p>
        </w:tc>
        <w:tc>
          <w:tcPr>
            <w:tcW w:type="dxa" w:w="70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Destinatari del PTPCT e del Codice di comportamento; partecipano alla formazione obbligatoria; sono tenuti alla segnalazione di illeciti attraverso i canali di whistleblowing; attuano le misure assegnate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Ufficio procedimenti disciplinari (UPD)</w:t>
            </w:r>
          </w:p>
        </w:tc>
        <w:tc>
          <w:tcPr>
            <w:tcW w:type="dxa" w:w="70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Riceve le segnalazioni del RPCT sulle violazioni del codice di comportamento; cura il procedimento disciplinare; trasmette le informazioni al RPCT per il monitoraggio</w:t>
            </w:r>
          </w:p>
        </w:tc>
      </w:tr>
    </w:tbl>
    <w:p>
      <w:pPr>
        <w:spacing w:before="1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8"/>
              <w:bottom w:val="single" w:color="2E75B6" w:sz="1"/>
              <w:right w:val="none" w:color="FFFFFF" w:sz="0"/>
            </w:tcBorders>
            <w:shd w:fill="EBF3FB" w:val="clear"/>
            <w:tcMar>
              <w:top w:type="dxa" w:w="100"/>
              <w:left w:type="dxa" w:w="160"/>
              <w:bottom w:type="dxa" w:w="100"/>
              <w:right w:type="dxa" w:w="160"/>
            </w:tcMar>
          </w:tcPr>
          <w:p>
            <w:pPr>
              <w:spacing w:before="40" w:after="60"/>
            </w:pPr>
            <w:r>
              <w:rPr>
                <w:rFonts w:ascii="Arial" w:cs="Arial" w:eastAsia="Arial" w:hAnsi="Arial"/>
                <w:b/>
                <w:bCs/>
                <w:color w:val="1F4E79"/>
                <w:sz w:val="22"/>
                <w:szCs w:val="22"/>
              </w:rPr>
              <w:t xml:space="preserve">Il coordinamento tra i soggetti: flussi informativi e reporting</w:t>
            </w:r>
          </w:p>
          <w:p>
            <w:pPr>
              <w:spacing w:before="40" w:after="40"/>
              <w:jc w:val="both"/>
            </w:pPr>
            <w:r>
              <w:rPr>
                <w:rFonts w:ascii="Arial" w:cs="Arial" w:eastAsia="Arial" w:hAnsi="Arial"/>
                <w:color w:val="000000"/>
                <w:sz w:val="21"/>
                <w:szCs w:val="21"/>
              </w:rPr>
              <w:t xml:space="preserve">Il sistema anticorruzione funziona solo attraverso flussi informativi strutturati e regolari tra i soggetti. Il RPCT deve definire formalmente: le modalita e la periodicita dei report dei referenti; i contenuti delle relazioni che i dirigenti sono tenuti a trasmettere; le modalita di comunicazione con l'OIV; le procedure di raccordo con l'UPD. Tali flussi devono essere documentati nel PTPCT o nella sottosezione del PIAO.</w:t>
            </w:r>
          </w:p>
        </w:tc>
      </w:tr>
    </w:tbl>
    <w:p>
      <w:pPr>
        <w:spacing w:before="200" w:after="0"/>
      </w:pPr>
      <w:r>
        <w:t xml:space="preserve"/>
      </w:r>
    </w:p>
    <w:p>
      <w:pPr>
        <w:shd w:fill="1F4E79" w:val="clear"/>
        <w:spacing w:before="280" w:after="100"/>
      </w:pPr>
      <w:r>
        <w:rPr>
          <w:rFonts w:ascii="Arial" w:cs="Arial" w:eastAsia="Arial" w:hAnsi="Arial"/>
          <w:b/>
          <w:bCs/>
          <w:color w:val="FFFFFF"/>
          <w:sz w:val="26"/>
          <w:szCs w:val="26"/>
        </w:rPr>
        <w:t xml:space="preserve">  SEZIONE 3.2 | GLI STRUMENTI DI PROGRAMMAZIONE ANTICORRUZIONE  (2 ore)</w:t>
      </w:r>
    </w:p>
    <w:p>
      <w:pPr>
        <w:spacing w:before="100" w:after="0"/>
      </w:pPr>
      <w:r>
        <w:t xml:space="preserve"/>
      </w:r>
    </w:p>
    <w:p>
      <w:pPr>
        <w:spacing w:before="100" w:after="120" w:line="276"/>
        <w:jc w:val="both"/>
      </w:pPr>
      <w:r>
        <w:rPr>
          <w:rFonts w:ascii="Arial" w:cs="Arial" w:eastAsia="Arial" w:hAnsi="Arial"/>
          <w:b w:val="false"/>
          <w:bCs w:val="false"/>
          <w:i w:val="false"/>
          <w:iCs w:val="false"/>
          <w:color w:val="000000"/>
          <w:sz w:val="22"/>
          <w:szCs w:val="22"/>
        </w:rPr>
        <w:t xml:space="preserve">Il Piano Triennale di Prevenzione della Corruzione e della Trasparenza (PTPCT) rappresenta lo strumento fondamentale di programmazione delle misure di prevenzione. Con il D.L. 80/2021 e l'introduzione del Piano Integrato di Attivita e Organizzazione (PIAO), la programmazione anticorruzione e stata integrata in un documento unitario per la maggior parte delle PA.</w:t>
      </w:r>
    </w:p>
    <w:p>
      <w:pPr>
        <w:spacing w:before="80" w:after="0"/>
      </w:pPr>
      <w:r>
        <w:t xml:space="preserve"/>
      </w:r>
    </w:p>
    <w:p>
      <w:pPr>
        <w:pBdr>
          <w:bottom w:val="single" w:color="2E75B6" w:sz="4"/>
        </w:pBdr>
        <w:spacing w:before="200" w:after="80"/>
      </w:pPr>
      <w:r>
        <w:rPr>
          <w:rFonts w:ascii="Arial" w:cs="Arial" w:eastAsia="Arial" w:hAnsi="Arial"/>
          <w:b/>
          <w:bCs/>
          <w:color w:val="1F4E79"/>
          <w:sz w:val="24"/>
          <w:szCs w:val="24"/>
        </w:rPr>
        <w:t xml:space="preserve">A) Il PIAO e la sottosezione "Rischi corruttivi e trasparenza"</w:t>
      </w:r>
      <w:r>
        <w:rPr>
          <w:rFonts w:ascii="Arial" w:cs="Arial" w:eastAsia="Arial" w:hAnsi="Arial"/>
          <w:color w:val="C55A11"/>
          <w:sz w:val="22"/>
          <w:szCs w:val="22"/>
        </w:rPr>
        <w:t xml:space="preserve">  |  Novita introdotta dal D.L. 80/2021</w:t>
      </w:r>
    </w:p>
    <w:p>
      <w:pPr>
        <w:spacing w:before="60" w:after="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rPr>
          <w:tblHeader/>
        </w:trPr>
        <w:tc>
          <w:tcPr>
            <w:tcW w:type="dxa" w:w="4819"/>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Cosa e il PIAO</w:t>
            </w:r>
          </w:p>
        </w:tc>
        <w:tc>
          <w:tcPr>
            <w:tcW w:type="dxa" w:w="4819"/>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Chi e tenuto ad adottarlo</w:t>
            </w:r>
          </w:p>
        </w:tc>
      </w:tr>
      <w:tr>
        <w:tc>
          <w:tcPr>
            <w:tcW w:type="dxa" w:w="4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60" w:after="80" w:line="276"/>
              <w:jc w:val="both"/>
            </w:pPr>
            <w:r>
              <w:rPr>
                <w:rFonts w:ascii="Arial" w:cs="Arial" w:eastAsia="Arial" w:hAnsi="Arial"/>
                <w:b w:val="false"/>
                <w:bCs w:val="false"/>
                <w:i w:val="false"/>
                <w:iCs w:val="false"/>
                <w:color w:val="000000"/>
                <w:sz w:val="22"/>
                <w:szCs w:val="22"/>
              </w:rPr>
              <w:t xml:space="preserve">Il Piano Integrato di Attivita e Organizzazione e il documento unico di programmazione strategica della PA. Sostituisce numerosi piani settoriali preesistenti, tra cui il PTPCT, organizzandoli in sezioni coordinate:</w:t>
            </w:r>
          </w:p>
          <w:p>
            <w:pPr>
              <w:pStyle w:val="ListParagraph"/>
              <w:numPr>
                <w:ilvl w:val="0"/>
                <w:numId w:val="2"/>
              </w:numPr>
              <w:spacing w:before="60" w:after="60"/>
            </w:pPr>
            <w:r>
              <w:rPr>
                <w:rFonts w:ascii="Arial" w:cs="Arial" w:eastAsia="Arial" w:hAnsi="Arial"/>
                <w:color w:val="000000"/>
                <w:sz w:val="22"/>
                <w:szCs w:val="22"/>
              </w:rPr>
              <w:t xml:space="preserve">Sezione Valore pubblico, Performance e Anticorruzione</w:t>
            </w:r>
          </w:p>
          <w:p>
            <w:pPr>
              <w:pStyle w:val="ListParagraph"/>
              <w:numPr>
                <w:ilvl w:val="0"/>
                <w:numId w:val="2"/>
              </w:numPr>
              <w:spacing w:before="60" w:after="60"/>
            </w:pPr>
            <w:r>
              <w:rPr>
                <w:rFonts w:ascii="Arial" w:cs="Arial" w:eastAsia="Arial" w:hAnsi="Arial"/>
                <w:color w:val="000000"/>
                <w:sz w:val="22"/>
                <w:szCs w:val="22"/>
              </w:rPr>
              <w:t xml:space="preserve">Sezione Organizzazione e Capitale umano</w:t>
            </w:r>
          </w:p>
          <w:p>
            <w:pPr>
              <w:pStyle w:val="ListParagraph"/>
              <w:numPr>
                <w:ilvl w:val="0"/>
                <w:numId w:val="2"/>
              </w:numPr>
              <w:spacing w:before="60" w:after="60"/>
            </w:pPr>
            <w:r>
              <w:rPr>
                <w:rFonts w:ascii="Arial" w:cs="Arial" w:eastAsia="Arial" w:hAnsi="Arial"/>
                <w:color w:val="000000"/>
                <w:sz w:val="22"/>
                <w:szCs w:val="22"/>
              </w:rPr>
              <w:t xml:space="preserve">Sezione Monitoraggio</w:t>
            </w:r>
          </w:p>
          <w:p>
            <w:pPr>
              <w:spacing w:before="80" w:after="40" w:line="276"/>
              <w:jc w:val="both"/>
            </w:pPr>
            <w:r>
              <w:rPr>
                <w:rFonts w:ascii="Arial" w:cs="Arial" w:eastAsia="Arial" w:hAnsi="Arial"/>
                <w:b w:val="false"/>
                <w:bCs w:val="false"/>
                <w:i w:val="false"/>
                <w:iCs w:val="false"/>
                <w:color w:val="000000"/>
                <w:sz w:val="22"/>
                <w:szCs w:val="22"/>
              </w:rPr>
              <w:t xml:space="preserve">La prevenzione della corruzione e collocata nella Sottosezione 2.3 "Rischi corruttivi e trasparenza" della Sezione Valore pubblico.</w:t>
            </w:r>
          </w:p>
        </w:tc>
        <w:tc>
          <w:tcPr>
            <w:tcW w:type="dxa" w:w="4819"/>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pPr>
              <w:pStyle w:val="ListParagraph"/>
              <w:numPr>
                <w:ilvl w:val="0"/>
                <w:numId w:val="2"/>
              </w:numPr>
              <w:spacing w:before="60" w:after="60"/>
            </w:pPr>
            <w:r>
              <w:rPr>
                <w:rFonts w:ascii="Arial" w:cs="Arial" w:eastAsia="Arial" w:hAnsi="Arial"/>
                <w:color w:val="000000"/>
                <w:sz w:val="22"/>
                <w:szCs w:val="22"/>
              </w:rPr>
              <w:t xml:space="preserve">PA con piu di 50 dipendenti (art. 1, c. 2, D.Lgs. 165/2001)</w:t>
            </w:r>
          </w:p>
          <w:p>
            <w:pPr>
              <w:pStyle w:val="ListParagraph"/>
              <w:numPr>
                <w:ilvl w:val="0"/>
                <w:numId w:val="2"/>
              </w:numPr>
              <w:spacing w:before="60" w:after="60"/>
            </w:pPr>
            <w:r>
              <w:rPr>
                <w:rFonts w:ascii="Arial" w:cs="Arial" w:eastAsia="Arial" w:hAnsi="Arial"/>
                <w:color w:val="000000"/>
                <w:sz w:val="22"/>
                <w:szCs w:val="22"/>
              </w:rPr>
              <w:t xml:space="preserve">Termine: 31 gennaio di ogni anno (per le PAC); fino al 30 aprile per gli enti locali che approvano il bilancio entro il 31 marzo</w:t>
            </w:r>
          </w:p>
          <w:p>
            <w:pPr>
              <w:spacing w:before="80" w:after="60" w:line="276"/>
              <w:jc w:val="both"/>
            </w:pPr>
            <w:r>
              <w:rPr>
                <w:rFonts w:ascii="Arial" w:cs="Arial" w:eastAsia="Arial" w:hAnsi="Arial"/>
                <w:b w:val="false"/>
                <w:bCs w:val="false"/>
                <w:i w:val="false"/>
                <w:iCs w:val="false"/>
                <w:color w:val="000000"/>
                <w:sz w:val="22"/>
                <w:szCs w:val="22"/>
              </w:rPr>
              <w:t xml:space="preserve">Sono esonerati dal PIAO e mantengono il PTPCT:</w:t>
            </w:r>
          </w:p>
          <w:p>
            <w:pPr>
              <w:pStyle w:val="ListParagraph"/>
              <w:numPr>
                <w:ilvl w:val="0"/>
                <w:numId w:val="2"/>
              </w:numPr>
              <w:spacing w:before="60" w:after="60"/>
            </w:pPr>
            <w:r>
              <w:rPr>
                <w:rFonts w:ascii="Arial" w:cs="Arial" w:eastAsia="Arial" w:hAnsi="Arial"/>
                <w:color w:val="000000"/>
                <w:sz w:val="22"/>
                <w:szCs w:val="22"/>
              </w:rPr>
              <w:t xml:space="preserve">Enti pubblici economici</w:t>
            </w:r>
          </w:p>
          <w:p>
            <w:pPr>
              <w:pStyle w:val="ListParagraph"/>
              <w:numPr>
                <w:ilvl w:val="0"/>
                <w:numId w:val="2"/>
              </w:numPr>
              <w:spacing w:before="60" w:after="60"/>
            </w:pPr>
            <w:r>
              <w:rPr>
                <w:rFonts w:ascii="Arial" w:cs="Arial" w:eastAsia="Arial" w:hAnsi="Arial"/>
                <w:color w:val="000000"/>
                <w:sz w:val="22"/>
                <w:szCs w:val="22"/>
              </w:rPr>
              <w:t xml:space="preserve">Ordini professionali</w:t>
            </w:r>
          </w:p>
          <w:p>
            <w:pPr>
              <w:pStyle w:val="ListParagraph"/>
              <w:numPr>
                <w:ilvl w:val="0"/>
                <w:numId w:val="2"/>
              </w:numPr>
              <w:spacing w:before="60" w:after="60"/>
            </w:pPr>
            <w:r>
              <w:rPr>
                <w:rFonts w:ascii="Arial" w:cs="Arial" w:eastAsia="Arial" w:hAnsi="Arial"/>
                <w:color w:val="000000"/>
                <w:sz w:val="22"/>
                <w:szCs w:val="22"/>
              </w:rPr>
              <w:t xml:space="preserve">Scuole e istituzioni educative</w:t>
            </w:r>
          </w:p>
          <w:p>
            <w:pPr>
              <w:pStyle w:val="ListParagraph"/>
              <w:numPr>
                <w:ilvl w:val="0"/>
                <w:numId w:val="2"/>
              </w:numPr>
              <w:spacing w:before="60" w:after="60"/>
            </w:pPr>
            <w:r>
              <w:rPr>
                <w:rFonts w:ascii="Arial" w:cs="Arial" w:eastAsia="Arial" w:hAnsi="Arial"/>
                <w:color w:val="000000"/>
                <w:sz w:val="22"/>
                <w:szCs w:val="22"/>
              </w:rPr>
              <w:t xml:space="preserve">Autorita amministrative indipendenti</w:t>
            </w:r>
          </w:p>
          <w:p>
            <w:pPr>
              <w:pStyle w:val="ListParagraph"/>
              <w:numPr>
                <w:ilvl w:val="0"/>
                <w:numId w:val="2"/>
              </w:numPr>
              <w:spacing w:before="60" w:after="60"/>
            </w:pPr>
            <w:r>
              <w:rPr>
                <w:rFonts w:ascii="Arial" w:cs="Arial" w:eastAsia="Arial" w:hAnsi="Arial"/>
                <w:color w:val="000000"/>
                <w:sz w:val="22"/>
                <w:szCs w:val="22"/>
              </w:rPr>
              <w:t xml:space="preserve">Enti con meno di 50 dipendenti (possono adottare PTPCT semplificato)</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8"/>
              <w:bottom w:val="single" w:color="2E75B6" w:sz="1"/>
              <w:right w:val="none" w:color="FFFFFF" w:sz="0"/>
            </w:tcBorders>
            <w:shd w:fill="EBF3FB" w:val="clear"/>
            <w:tcMar>
              <w:top w:type="dxa" w:w="100"/>
              <w:left w:type="dxa" w:w="160"/>
              <w:bottom w:type="dxa" w:w="100"/>
              <w:right w:type="dxa" w:w="160"/>
            </w:tcMar>
          </w:tcPr>
          <w:p>
            <w:pPr>
              <w:spacing w:before="40" w:after="60"/>
            </w:pPr>
            <w:r>
              <w:rPr>
                <w:rFonts w:ascii="Arial" w:cs="Arial" w:eastAsia="Arial" w:hAnsi="Arial"/>
                <w:b/>
                <w:bCs/>
                <w:color w:val="1F4E79"/>
                <w:sz w:val="22"/>
                <w:szCs w:val="22"/>
              </w:rPr>
              <w:t xml:space="preserve">Il PNA 2025 e il coordinamento PIAO-Anticorruzione (Delib. ANAC n. 19/2026)</w:t>
            </w:r>
          </w:p>
          <w:p>
            <w:pPr>
              <w:spacing w:before="40" w:after="40"/>
              <w:jc w:val="both"/>
            </w:pPr>
            <w:r>
              <w:rPr>
                <w:rFonts w:ascii="Arial" w:cs="Arial" w:eastAsia="Arial" w:hAnsi="Arial"/>
                <w:color w:val="000000"/>
                <w:sz w:val="21"/>
                <w:szCs w:val="21"/>
              </w:rPr>
              <w:t xml:space="preserve">Il PNA 2025, approvato definitivamente con Delibera n. 19 del 28 gennaio 2026, pone al centro della sua parte generale il coordinamento sistematico tra la Sottosezione 2.3 "Rischi corruttivi e trasparenza" e le altre sezioni del PIAO. ANAC sottolinea che la prevenzione della corruzione non e piu un segmento isolato ma una componente integrata e trasversale della programmazione strategica dell'amministrazione. Il PNA fornisce indicazioni dettagliate su: mappatura unica e integrata dei processi; sistemi di monitoraggio trasversale condivisi tra RPCT e altri responsabili di area; modelli di coordinamento tra i soggetti coinvolti nella redazione del PIAO.</w:t>
            </w:r>
          </w:p>
        </w:tc>
      </w:tr>
    </w:tbl>
    <w:p>
      <w:pPr>
        <w:spacing w:before="120" w:after="0"/>
      </w:pPr>
      <w:r>
        <w:t xml:space="preserve"/>
      </w:r>
    </w:p>
    <w:p>
      <w:pPr>
        <w:pBdr>
          <w:bottom w:val="single" w:color="2E75B6" w:sz="4"/>
        </w:pBdr>
        <w:spacing w:before="200" w:after="80"/>
      </w:pPr>
      <w:r>
        <w:rPr>
          <w:rFonts w:ascii="Arial" w:cs="Arial" w:eastAsia="Arial" w:hAnsi="Arial"/>
          <w:b/>
          <w:bCs/>
          <w:color w:val="1F4E79"/>
          <w:sz w:val="24"/>
          <w:szCs w:val="24"/>
        </w:rPr>
        <w:t xml:space="preserve">B) Contenuti della Sottosezione 2.3 del PIAO / del PTPCT</w:t>
      </w:r>
    </w:p>
    <w:p>
      <w:pPr>
        <w:spacing w:before="80" w:after="100" w:line="276"/>
        <w:jc w:val="both"/>
      </w:pPr>
      <w:r>
        <w:rPr>
          <w:rFonts w:ascii="Arial" w:cs="Arial" w:eastAsia="Arial" w:hAnsi="Arial"/>
          <w:b w:val="false"/>
          <w:bCs w:val="false"/>
          <w:i w:val="false"/>
          <w:iCs w:val="false"/>
          <w:color w:val="000000"/>
          <w:sz w:val="22"/>
          <w:szCs w:val="22"/>
        </w:rPr>
        <w:t xml:space="preserve">Secondo le indicazioni metodologiche del PNA, la sottosezione anticorruzione e trasparenza del PIAO deve contenere i seguenti elementi:</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0"/>
        <w:gridCol w:w="3000"/>
        <w:gridCol w:w="6138"/>
      </w:tblGrid>
      <w:tr>
        <w:trPr>
          <w:tblHeader/>
        </w:trPr>
        <w:tc>
          <w:tcPr>
            <w:tcW w:type="dxa" w:w="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N.</w:t>
            </w:r>
          </w:p>
        </w:tc>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Elemento</w:t>
            </w:r>
          </w:p>
        </w:tc>
        <w:tc>
          <w:tcPr>
            <w:tcW w:type="dxa" w:w="613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Contenuto e finalita</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1</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Analisi del contesto esterno</w:t>
            </w:r>
          </w:p>
        </w:tc>
        <w:tc>
          <w:tcPr>
            <w:tcW w:type="dxa" w:w="61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Esame del territorio, del tessuto economico e sociale, di eventuali infiltrazioni della criminalita organizzata; utilizzo di fonti ufficiali (ANAC, Transcrime, forze dell'ordine, istituzioni locali)</w:t>
            </w:r>
          </w:p>
        </w:tc>
      </w:tr>
      <w:tr>
        <w:tc>
          <w:tcPr>
            <w:tcW w:type="dxa" w:w="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2</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Analisi del contesto interno</w:t>
            </w:r>
          </w:p>
        </w:tc>
        <w:tc>
          <w:tcPr>
            <w:tcW w:type="dxa" w:w="61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Struttura organizzativa, dotazione organica, processi decisionali, cultura dell'integrità, criticita emerse in precedenti piani o nell'attivita di controllo</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3</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Mappatura dei processi</w:t>
            </w:r>
          </w:p>
        </w:tc>
        <w:tc>
          <w:tcPr>
            <w:tcW w:type="dxa" w:w="61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Identificazione sistematica di tutti i processi dell'ente, con particolare attenzione a quelli a maggior rischio; rappresentazione grafica e documentale</w:t>
            </w:r>
          </w:p>
        </w:tc>
      </w:tr>
      <w:tr>
        <w:tc>
          <w:tcPr>
            <w:tcW w:type="dxa" w:w="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4</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Valutazione del rischio corruttivo</w:t>
            </w:r>
          </w:p>
        </w:tc>
        <w:tc>
          <w:tcPr>
            <w:tcW w:type="dxa" w:w="61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Identificazione degli eventi rischiosi per ogni processo; stima della probabilita e dell'impatto; costruzione della matrice rischio; ponderazione</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5</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Trattamento del rischio</w:t>
            </w:r>
          </w:p>
        </w:tc>
        <w:tc>
          <w:tcPr>
            <w:tcW w:type="dxa" w:w="61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Individuazione e programmazione delle misure generali e specifiche; assegnazione di responsabilita e scadenze; allocazione delle risorse</w:t>
            </w:r>
          </w:p>
        </w:tc>
      </w:tr>
      <w:tr>
        <w:tc>
          <w:tcPr>
            <w:tcW w:type="dxa" w:w="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6</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Sezione Trasparenza</w:t>
            </w:r>
          </w:p>
        </w:tc>
        <w:tc>
          <w:tcPr>
            <w:tcW w:type="dxa" w:w="61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Obblighi di pubblicazione applicabili all'ente; responsabili della pubblicazione per ciascun dato; termini e modalita di aggiornamento; link all'Amministrazione Trasparente</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7</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Monitoraggio</w:t>
            </w:r>
          </w:p>
        </w:tc>
        <w:tc>
          <w:tcPr>
            <w:tcW w:type="dxa" w:w="61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Indicatori di attuazione delle misure; responsabili del monitoraggio; cadenza dei report al RPCT e all'organo di indirizzo; procedure di aggiornamento del piano</w:t>
            </w:r>
          </w:p>
        </w:tc>
      </w:tr>
    </w:tbl>
    <w:p>
      <w:pPr>
        <w:spacing w:before="120" w:after="0"/>
      </w:pPr>
      <w:r>
        <w:t xml:space="preserve"/>
      </w:r>
    </w:p>
    <w:p>
      <w:pPr>
        <w:pBdr>
          <w:bottom w:val="single" w:color="2E75B6" w:sz="4"/>
        </w:pBdr>
        <w:spacing w:before="200" w:after="80"/>
      </w:pPr>
      <w:r>
        <w:rPr>
          <w:rFonts w:ascii="Arial" w:cs="Arial" w:eastAsia="Arial" w:hAnsi="Arial"/>
          <w:b/>
          <w:bCs/>
          <w:color w:val="1F4E79"/>
          <w:sz w:val="24"/>
          <w:szCs w:val="24"/>
        </w:rPr>
        <w:t xml:space="preserve">C) La metodologia di analisi del contesto e mappatura dei processi</w:t>
      </w:r>
    </w:p>
    <w:p>
      <w:pPr>
        <w:spacing w:before="60" w:after="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rPr>
          <w:tblHeader/>
        </w:trPr>
        <w:tc>
          <w:tcPr>
            <w:tcW w:type="dxa" w:w="4819"/>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Contesto esterno: fonti e strumenti</w:t>
            </w:r>
          </w:p>
        </w:tc>
        <w:tc>
          <w:tcPr>
            <w:tcW w:type="dxa" w:w="4819"/>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Contesto interno: elementi da analizzare</w:t>
            </w:r>
          </w:p>
        </w:tc>
      </w:tr>
      <w:tr>
        <w:tc>
          <w:tcPr>
            <w:tcW w:type="dxa" w:w="4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before="60" w:after="60"/>
            </w:pPr>
            <w:r>
              <w:rPr>
                <w:rFonts w:ascii="Arial" w:cs="Arial" w:eastAsia="Arial" w:hAnsi="Arial"/>
                <w:color w:val="000000"/>
                <w:sz w:val="22"/>
                <w:szCs w:val="22"/>
              </w:rPr>
              <w:t xml:space="preserve">Relazioni e rapporti delle forze dell'ordine (prefetture)</w:t>
            </w:r>
          </w:p>
          <w:p>
            <w:pPr>
              <w:pStyle w:val="ListParagraph"/>
              <w:numPr>
                <w:ilvl w:val="0"/>
                <w:numId w:val="2"/>
              </w:numPr>
              <w:spacing w:before="60" w:after="60"/>
            </w:pPr>
            <w:r>
              <w:rPr>
                <w:rFonts w:ascii="Arial" w:cs="Arial" w:eastAsia="Arial" w:hAnsi="Arial"/>
                <w:color w:val="000000"/>
                <w:sz w:val="22"/>
                <w:szCs w:val="22"/>
              </w:rPr>
              <w:t xml:space="preserve">Dati ANAC su illeciti nel settore pubblico</w:t>
            </w:r>
          </w:p>
          <w:p>
            <w:pPr>
              <w:pStyle w:val="ListParagraph"/>
              <w:numPr>
                <w:ilvl w:val="0"/>
                <w:numId w:val="2"/>
              </w:numPr>
              <w:spacing w:before="60" w:after="60"/>
            </w:pPr>
            <w:r>
              <w:rPr>
                <w:rFonts w:ascii="Arial" w:cs="Arial" w:eastAsia="Arial" w:hAnsi="Arial"/>
                <w:color w:val="000000"/>
                <w:sz w:val="22"/>
                <w:szCs w:val="22"/>
              </w:rPr>
              <w:t xml:space="preserve">Rapporti Transcrime e altri centri di ricerca</w:t>
            </w:r>
          </w:p>
          <w:p>
            <w:pPr>
              <w:pStyle w:val="ListParagraph"/>
              <w:numPr>
                <w:ilvl w:val="0"/>
                <w:numId w:val="2"/>
              </w:numPr>
              <w:spacing w:before="60" w:after="60"/>
            </w:pPr>
            <w:r>
              <w:rPr>
                <w:rFonts w:ascii="Arial" w:cs="Arial" w:eastAsia="Arial" w:hAnsi="Arial"/>
                <w:color w:val="000000"/>
                <w:sz w:val="22"/>
                <w:szCs w:val="22"/>
              </w:rPr>
              <w:t xml:space="preserve">Banca dati nazionale degli appalti pubblici (ANAC)</w:t>
            </w:r>
          </w:p>
          <w:p>
            <w:pPr>
              <w:pStyle w:val="ListParagraph"/>
              <w:numPr>
                <w:ilvl w:val="0"/>
                <w:numId w:val="2"/>
              </w:numPr>
              <w:spacing w:before="60" w:after="60"/>
            </w:pPr>
            <w:r>
              <w:rPr>
                <w:rFonts w:ascii="Arial" w:cs="Arial" w:eastAsia="Arial" w:hAnsi="Arial"/>
                <w:color w:val="000000"/>
                <w:sz w:val="22"/>
                <w:szCs w:val="22"/>
              </w:rPr>
              <w:t xml:space="preserve">Statistiche giudiziarie e relazioni della Corte dei Conti</w:t>
            </w:r>
          </w:p>
          <w:p>
            <w:pPr>
              <w:pStyle w:val="ListParagraph"/>
              <w:numPr>
                <w:ilvl w:val="0"/>
                <w:numId w:val="2"/>
              </w:numPr>
              <w:spacing w:before="60" w:after="60"/>
            </w:pPr>
            <w:r>
              <w:rPr>
                <w:rFonts w:ascii="Arial" w:cs="Arial" w:eastAsia="Arial" w:hAnsi="Arial"/>
                <w:color w:val="000000"/>
                <w:sz w:val="22"/>
                <w:szCs w:val="22"/>
              </w:rPr>
              <w:t xml:space="preserve">Informazioni su criminalita organizzata nel territorio</w:t>
            </w:r>
          </w:p>
          <w:p>
            <w:pPr>
              <w:pStyle w:val="ListParagraph"/>
              <w:numPr>
                <w:ilvl w:val="0"/>
                <w:numId w:val="2"/>
              </w:numPr>
              <w:spacing w:before="60" w:after="60"/>
            </w:pPr>
            <w:r>
              <w:rPr>
                <w:rFonts w:ascii="Arial" w:cs="Arial" w:eastAsia="Arial" w:hAnsi="Arial"/>
                <w:color w:val="000000"/>
                <w:sz w:val="22"/>
                <w:szCs w:val="22"/>
              </w:rPr>
              <w:t xml:space="preserve">Dati sull'economia locale e sui settori a rischio</w:t>
            </w:r>
          </w:p>
        </w:tc>
        <w:tc>
          <w:tcPr>
            <w:tcW w:type="dxa" w:w="4819"/>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pPr>
              <w:pStyle w:val="ListParagraph"/>
              <w:numPr>
                <w:ilvl w:val="0"/>
                <w:numId w:val="2"/>
              </w:numPr>
              <w:spacing w:before="60" w:after="60"/>
            </w:pPr>
            <w:r>
              <w:rPr>
                <w:rFonts w:ascii="Arial" w:cs="Arial" w:eastAsia="Arial" w:hAnsi="Arial"/>
                <w:color w:val="000000"/>
                <w:sz w:val="22"/>
                <w:szCs w:val="22"/>
              </w:rPr>
              <w:t xml:space="preserve">Struttura organizzativa e livelli decisionali</w:t>
            </w:r>
          </w:p>
          <w:p>
            <w:pPr>
              <w:pStyle w:val="ListParagraph"/>
              <w:numPr>
                <w:ilvl w:val="0"/>
                <w:numId w:val="2"/>
              </w:numPr>
              <w:spacing w:before="60" w:after="60"/>
            </w:pPr>
            <w:r>
              <w:rPr>
                <w:rFonts w:ascii="Arial" w:cs="Arial" w:eastAsia="Arial" w:hAnsi="Arial"/>
                <w:color w:val="000000"/>
                <w:sz w:val="22"/>
                <w:szCs w:val="22"/>
              </w:rPr>
              <w:t xml:space="preserve">Dotazione organica e tassi di turnover</w:t>
            </w:r>
          </w:p>
          <w:p>
            <w:pPr>
              <w:pStyle w:val="ListParagraph"/>
              <w:numPr>
                <w:ilvl w:val="0"/>
                <w:numId w:val="2"/>
              </w:numPr>
              <w:spacing w:before="60" w:after="60"/>
            </w:pPr>
            <w:r>
              <w:rPr>
                <w:rFonts w:ascii="Arial" w:cs="Arial" w:eastAsia="Arial" w:hAnsi="Arial"/>
                <w:color w:val="000000"/>
                <w:sz w:val="22"/>
                <w:szCs w:val="22"/>
              </w:rPr>
              <w:t xml:space="preserve">Mappatura delle deleghe e dei poteri di firma</w:t>
            </w:r>
          </w:p>
          <w:p>
            <w:pPr>
              <w:pStyle w:val="ListParagraph"/>
              <w:numPr>
                <w:ilvl w:val="0"/>
                <w:numId w:val="2"/>
              </w:numPr>
              <w:spacing w:before="60" w:after="60"/>
            </w:pPr>
            <w:r>
              <w:rPr>
                <w:rFonts w:ascii="Arial" w:cs="Arial" w:eastAsia="Arial" w:hAnsi="Arial"/>
                <w:color w:val="000000"/>
                <w:sz w:val="22"/>
                <w:szCs w:val="22"/>
              </w:rPr>
              <w:t xml:space="preserve">Precedenti disciplinari e penali a carico del personale</w:t>
            </w:r>
          </w:p>
          <w:p>
            <w:pPr>
              <w:pStyle w:val="ListParagraph"/>
              <w:numPr>
                <w:ilvl w:val="0"/>
                <w:numId w:val="2"/>
              </w:numPr>
              <w:spacing w:before="60" w:after="60"/>
            </w:pPr>
            <w:r>
              <w:rPr>
                <w:rFonts w:ascii="Arial" w:cs="Arial" w:eastAsia="Arial" w:hAnsi="Arial"/>
                <w:color w:val="000000"/>
                <w:sz w:val="22"/>
                <w:szCs w:val="22"/>
              </w:rPr>
              <w:t xml:space="preserve">Risultati dell'attivita ispettiva e di audit interno</w:t>
            </w:r>
          </w:p>
          <w:p>
            <w:pPr>
              <w:pStyle w:val="ListParagraph"/>
              <w:numPr>
                <w:ilvl w:val="0"/>
                <w:numId w:val="2"/>
              </w:numPr>
              <w:spacing w:before="60" w:after="60"/>
            </w:pPr>
            <w:r>
              <w:rPr>
                <w:rFonts w:ascii="Arial" w:cs="Arial" w:eastAsia="Arial" w:hAnsi="Arial"/>
                <w:color w:val="000000"/>
                <w:sz w:val="22"/>
                <w:szCs w:val="22"/>
              </w:rPr>
              <w:t xml:space="preserve">Segnalazioni di whistleblowing ricevute</w:t>
            </w:r>
          </w:p>
          <w:p>
            <w:pPr>
              <w:pStyle w:val="ListParagraph"/>
              <w:numPr>
                <w:ilvl w:val="0"/>
                <w:numId w:val="2"/>
              </w:numPr>
              <w:spacing w:before="60" w:after="60"/>
            </w:pPr>
            <w:r>
              <w:rPr>
                <w:rFonts w:ascii="Arial" w:cs="Arial" w:eastAsia="Arial" w:hAnsi="Arial"/>
                <w:color w:val="000000"/>
                <w:sz w:val="22"/>
                <w:szCs w:val="22"/>
              </w:rPr>
              <w:t xml:space="preserve">Anomalie riscontrate nei precedenti piani</w:t>
            </w:r>
          </w:p>
          <w:p>
            <w:pPr>
              <w:pStyle w:val="ListParagraph"/>
              <w:numPr>
                <w:ilvl w:val="0"/>
                <w:numId w:val="2"/>
              </w:numPr>
              <w:spacing w:before="60" w:after="60"/>
            </w:pPr>
            <w:r>
              <w:rPr>
                <w:rFonts w:ascii="Arial" w:cs="Arial" w:eastAsia="Arial" w:hAnsi="Arial"/>
                <w:color w:val="000000"/>
                <w:sz w:val="22"/>
                <w:szCs w:val="22"/>
              </w:rPr>
              <w:t xml:space="preserve">Cultura organizzativa e livello di digitalizzazione</w:t>
            </w:r>
          </w:p>
        </w:tc>
      </w:tr>
    </w:tbl>
    <w:p>
      <w:pPr>
        <w:spacing w:before="100" w:after="0"/>
      </w:pPr>
      <w:r>
        <w:t xml:space="preserve"/>
      </w:r>
    </w:p>
    <w:p>
      <w:pPr>
        <w:spacing w:before="80" w:after="80" w:line="276"/>
        <w:jc w:val="both"/>
      </w:pPr>
      <w:r>
        <w:rPr>
          <w:rFonts w:ascii="Arial" w:cs="Arial" w:eastAsia="Arial" w:hAnsi="Arial"/>
          <w:b w:val="false"/>
          <w:bCs w:val="false"/>
          <w:i w:val="false"/>
          <w:iCs w:val="false"/>
          <w:color w:val="000000"/>
          <w:sz w:val="22"/>
          <w:szCs w:val="22"/>
        </w:rPr>
        <w:t xml:space="preserve">La mappatura dei processi e la fase tecnica piu rilevante. Il PNA suggerisce di adottare un approccio sistematico che preveda:</w:t>
      </w:r>
    </w:p>
    <w:p>
      <w:pPr>
        <w:pStyle w:val="ListParagraph"/>
        <w:numPr>
          <w:ilvl w:val="0"/>
          <w:numId w:val="2"/>
        </w:numPr>
        <w:spacing w:before="60" w:after="60"/>
      </w:pPr>
      <w:r>
        <w:rPr>
          <w:rFonts w:ascii="Arial" w:cs="Arial" w:eastAsia="Arial" w:hAnsi="Arial"/>
          <w:color w:val="000000"/>
          <w:sz w:val="22"/>
          <w:szCs w:val="22"/>
        </w:rPr>
        <w:t xml:space="preserve">Identificazione di tutti i processi organizzativi dell'ente, aggregati per aree omogenee di attivita</w:t>
      </w:r>
    </w:p>
    <w:p>
      <w:pPr>
        <w:pStyle w:val="ListParagraph"/>
        <w:numPr>
          <w:ilvl w:val="0"/>
          <w:numId w:val="2"/>
        </w:numPr>
        <w:spacing w:before="60" w:after="60"/>
      </w:pPr>
      <w:r>
        <w:rPr>
          <w:rFonts w:ascii="Arial" w:cs="Arial" w:eastAsia="Arial" w:hAnsi="Arial"/>
          <w:color w:val="000000"/>
          <w:sz w:val="22"/>
          <w:szCs w:val="22"/>
        </w:rPr>
        <w:t xml:space="preserve">Per ogni processo: descrizione delle fasi, degli attori coinvolti, dei documenti prodotti, dei sistemi informativi utilizzati</w:t>
      </w:r>
    </w:p>
    <w:p>
      <w:pPr>
        <w:pStyle w:val="ListParagraph"/>
        <w:numPr>
          <w:ilvl w:val="0"/>
          <w:numId w:val="2"/>
        </w:numPr>
        <w:spacing w:before="60" w:after="60"/>
      </w:pPr>
      <w:r>
        <w:rPr>
          <w:rFonts w:ascii="Arial" w:cs="Arial" w:eastAsia="Arial" w:hAnsi="Arial"/>
          <w:color w:val="000000"/>
          <w:sz w:val="22"/>
          <w:szCs w:val="22"/>
        </w:rPr>
        <w:t xml:space="preserve">Individuazione degli eventi rischiosi specifici (comportamenti potenzialmente scorretti che potrebbero verificarsi in ciascuna fase)</w:t>
      </w:r>
    </w:p>
    <w:p>
      <w:pPr>
        <w:pStyle w:val="ListParagraph"/>
        <w:numPr>
          <w:ilvl w:val="0"/>
          <w:numId w:val="2"/>
        </w:numPr>
        <w:spacing w:before="60" w:after="60"/>
      </w:pPr>
      <w:r>
        <w:rPr>
          <w:rFonts w:ascii="Arial" w:cs="Arial" w:eastAsia="Arial" w:hAnsi="Arial"/>
          <w:color w:val="000000"/>
          <w:sz w:val="22"/>
          <w:szCs w:val="22"/>
        </w:rPr>
        <w:t xml:space="preserve">Documentazione in registri strutturati, accessibili al RPCT e ai referenti anticorruzione</w:t>
      </w:r>
    </w:p>
    <w:p>
      <w:pPr>
        <w:spacing w:before="120" w:after="0"/>
      </w:pPr>
      <w:r>
        <w:t xml:space="preserve"/>
      </w:r>
    </w:p>
    <w:p>
      <w:pPr>
        <w:pBdr>
          <w:bottom w:val="single" w:color="2E75B6" w:sz="4"/>
        </w:pBdr>
        <w:spacing w:before="200" w:after="80"/>
      </w:pPr>
      <w:r>
        <w:rPr>
          <w:rFonts w:ascii="Arial" w:cs="Arial" w:eastAsia="Arial" w:hAnsi="Arial"/>
          <w:b/>
          <w:bCs/>
          <w:color w:val="1F4E79"/>
          <w:sz w:val="24"/>
          <w:szCs w:val="24"/>
        </w:rPr>
        <w:t xml:space="preserve">D) L'aggiornamento annuale e la procedura di adozione</w:t>
      </w:r>
    </w:p>
    <w:p>
      <w:pPr>
        <w:spacing w:before="80" w:after="100" w:line="276"/>
        <w:jc w:val="both"/>
      </w:pPr>
      <w:r>
        <w:rPr>
          <w:rFonts w:ascii="Arial" w:cs="Arial" w:eastAsia="Arial" w:hAnsi="Arial"/>
          <w:b w:val="false"/>
          <w:bCs w:val="false"/>
          <w:i w:val="false"/>
          <w:iCs w:val="false"/>
          <w:color w:val="000000"/>
          <w:sz w:val="22"/>
          <w:szCs w:val="22"/>
        </w:rPr>
        <w:t xml:space="preserve">Il PTPCT/PIAO non e un documento statico: deve essere aggiornato annualmente, entro il 31 gennaio, seguendo una procedura strutturata che garantisca partecipazione e accountability.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500"/>
        <w:gridCol w:w="3069"/>
        <w:gridCol w:w="5069"/>
      </w:tblGrid>
      <w:tr>
        <w:trPr>
          <w:tblHeader/>
        </w:trPr>
        <w:tc>
          <w:tcPr>
            <w:tcW w:type="dxa" w:w="1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Fase</w:t>
            </w:r>
          </w:p>
        </w:tc>
        <w:tc>
          <w:tcPr>
            <w:tcW w:type="dxa" w:w="3069"/>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Attori</w:t>
            </w:r>
          </w:p>
        </w:tc>
        <w:tc>
          <w:tcPr>
            <w:tcW w:type="dxa" w:w="5069"/>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Contenuto</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1 - Analisi</w:t>
            </w:r>
          </w:p>
        </w:tc>
        <w:tc>
          <w:tcPr>
            <w:tcW w:type="dxa" w:w="306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RPCT + Referenti</w:t>
            </w:r>
          </w:p>
        </w:tc>
        <w:tc>
          <w:tcPr>
            <w:tcW w:type="dxa" w:w="506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Monitoraggio attuazione piano precedente; raccolta dati di contesto; analisi delle criticita emerse</w:t>
            </w:r>
          </w:p>
        </w:tc>
      </w:tr>
      <w:tr>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2 - Consultazione</w:t>
            </w:r>
          </w:p>
        </w:tc>
        <w:tc>
          <w:tcPr>
            <w:tcW w:type="dxa" w:w="306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RPCT + Dirigenti + Stakeholder</w:t>
            </w:r>
          </w:p>
        </w:tc>
        <w:tc>
          <w:tcPr>
            <w:tcW w:type="dxa" w:w="506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Consultazione con i dirigenti responsabili di processo; eventuali consultazioni pubbliche con stakeholder esterni; coinvolgimento delle OO.SS.</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3 - Redazione</w:t>
            </w:r>
          </w:p>
        </w:tc>
        <w:tc>
          <w:tcPr>
            <w:tcW w:type="dxa" w:w="306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RPCT</w:t>
            </w:r>
          </w:p>
        </w:tc>
        <w:tc>
          <w:tcPr>
            <w:tcW w:type="dxa" w:w="506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Elaborazione del nuovo piano con aggiornamento del registro dei rischi, delle misure e della sezione trasparenza</w:t>
            </w:r>
          </w:p>
        </w:tc>
      </w:tr>
      <w:tr>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4 - Adozione</w:t>
            </w:r>
          </w:p>
        </w:tc>
        <w:tc>
          <w:tcPr>
            <w:tcW w:type="dxa" w:w="306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Organo di indirizzo</w:t>
            </w:r>
          </w:p>
        </w:tc>
        <w:tc>
          <w:tcPr>
            <w:tcW w:type="dxa" w:w="506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Approvazione del PTPCT o del PIAO entro il 31 gennaio (PAC) con deliberazione/determina dell'organo competente</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5 - Pubblicazione</w:t>
            </w:r>
          </w:p>
        </w:tc>
        <w:tc>
          <w:tcPr>
            <w:tcW w:type="dxa" w:w="306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RPCT + Ufficio comunicazione</w:t>
            </w:r>
          </w:p>
        </w:tc>
        <w:tc>
          <w:tcPr>
            <w:tcW w:type="dxa" w:w="506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Pubblicazione nell'Amministrazione Trasparente (sottosezione "Altri contenuti - Prevenzione della corruzione"); comunicazione ad ANAC tramite piattaforma</w:t>
            </w:r>
          </w:p>
        </w:tc>
      </w:tr>
    </w:tbl>
    <w:p>
      <w:pPr>
        <w:spacing w:before="1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8"/>
              <w:bottom w:val="single" w:color="2E75B6" w:sz="1"/>
              <w:right w:val="none" w:color="FFFFFF" w:sz="0"/>
            </w:tcBorders>
            <w:shd w:fill="EBF3FB" w:val="clear"/>
            <w:tcMar>
              <w:top w:type="dxa" w:w="100"/>
              <w:left w:type="dxa" w:w="160"/>
              <w:bottom w:type="dxa" w:w="100"/>
              <w:right w:type="dxa" w:w="160"/>
            </w:tcMar>
          </w:tcPr>
          <w:p>
            <w:pPr>
              <w:spacing w:before="40" w:after="60"/>
            </w:pPr>
            <w:r>
              <w:rPr>
                <w:rFonts w:ascii="Arial" w:cs="Arial" w:eastAsia="Arial" w:hAnsi="Arial"/>
                <w:b/>
                <w:bCs/>
                <w:color w:val="1F4E79"/>
                <w:sz w:val="22"/>
                <w:szCs w:val="22"/>
              </w:rPr>
              <w:t xml:space="preserve">Aggiornamento 2024 del PNA 2022 (Delibera ANAC n. 31 del 30 gennaio 2025)</w:t>
            </w:r>
          </w:p>
          <w:p>
            <w:pPr>
              <w:spacing w:before="40" w:after="40"/>
              <w:jc w:val="both"/>
            </w:pPr>
            <w:r>
              <w:rPr>
                <w:rFonts w:ascii="Arial" w:cs="Arial" w:eastAsia="Arial" w:hAnsi="Arial"/>
                <w:color w:val="000000"/>
                <w:sz w:val="21"/>
                <w:szCs w:val="21"/>
              </w:rPr>
              <w:t xml:space="preserve">L'Aggiornamento 2024 del PNA 2022, adottato con Delibera n. 31 del 30 gennaio 2025 e pubblicato in GU n. 35 del 12 febbraio 2025, ha fornito indicazioni operative aggiornate per la redazione della sottosezione anticorruzione e trasparenza del PIAO. In particolare, ha chiarito: le modalita di coordinamento tra la sottosezione 2.3 e le altre sezioni del PIAO; le semplificazioni applicabili agli enti con meno di 50 dipendenti; le indicazioni per i piccoli comuni. La Piattaforma ANAC per l'acquisizione dei PTPCT consente la generazione automatica della relazione annuale del RPCT.</w:t>
            </w:r>
          </w:p>
        </w:tc>
      </w:tr>
    </w:tbl>
    <w:p>
      <w:pPr>
        <w:spacing w:before="120" w:after="0"/>
      </w:pPr>
      <w:r>
        <w:t xml:space="preserve"/>
      </w:r>
    </w:p>
    <w:p>
      <w:pPr>
        <w:pBdr>
          <w:bottom w:val="single" w:color="2E75B6" w:sz="4"/>
        </w:pBdr>
        <w:spacing w:before="200" w:after="80"/>
      </w:pPr>
      <w:r>
        <w:rPr>
          <w:rFonts w:ascii="Arial" w:cs="Arial" w:eastAsia="Arial" w:hAnsi="Arial"/>
          <w:b/>
          <w:bCs/>
          <w:color w:val="1F4E79"/>
          <w:sz w:val="24"/>
          <w:szCs w:val="24"/>
        </w:rPr>
        <w:t xml:space="preserve">E) Le principali pubblicazioni ANAC di riferimento per il Modulo 3</w:t>
      </w:r>
    </w:p>
    <w:p>
      <w:pPr>
        <w:spacing w:before="60" w:after="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4038"/>
      </w:tblGrid>
      <w:tr>
        <w:trPr>
          <w:tblHeader/>
        </w:trPr>
        <w:tc>
          <w:tcPr>
            <w:tcW w:type="dxa" w:w="3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Provvedimento</w:t>
            </w:r>
          </w:p>
        </w:tc>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Estremi</w:t>
            </w:r>
          </w:p>
        </w:tc>
        <w:tc>
          <w:tcPr>
            <w:tcW w:type="dxa" w:w="403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Rilevanza per la programmazione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Piano Nazionale Anticorruzione 2025</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Delibera ANAC n. 19 del 28.01.2026 (GU Serie Gen.)</w:t>
            </w:r>
          </w:p>
        </w:tc>
        <w:tc>
          <w:tcPr>
            <w:tcW w:type="dxa" w:w="40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Framework strategico 2026-2028 con 6 linee strategiche, 12 obiettivi e 31 azioni; nuova metodologia di coordinamento PIAO; indicazioni su D.Lgs. 39/2013 e trasparenza digitale</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Aggiornamento 2024 del PNA 2022</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Delibera ANAC n. 31 del 30.01.2025 (GU n. 35/2025)</w:t>
            </w:r>
          </w:p>
        </w:tc>
        <w:tc>
          <w:tcPr>
            <w:tcW w:type="dxa" w:w="40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Indicazioni operative aggiornate per PTPCT/PIAO; semplificazioni per enti di piccole dimensioni; coordinamento con sezioni PIAO</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Linee guida n. 1/2025 Whistleblowing - canali interni</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Delibera ANAC n. 478 del 26.11.2025</w:t>
            </w:r>
          </w:p>
        </w:tc>
        <w:tc>
          <w:tcPr>
            <w:tcW w:type="dxa" w:w="40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Indicazioni operative per RPCT su istituzione e gestione canali di segnalazione interni; ruolo del gestore; sanzioni per non conformita; coordinamento con GDPR</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Linee guida segnalazioni esterne - Aggiornamento</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Delibera ANAC n. 479 del 26.11.2025</w:t>
            </w:r>
          </w:p>
        </w:tc>
        <w:tc>
          <w:tcPr>
            <w:tcW w:type="dxa" w:w="40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Modifiche e integrazioni alle Linee guida n. 311/2023 su segnalazioni esterne; coerenza sistematica con le nuove indicazioni sui canali interni</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Linee guida inconferibilita, incompatibilita, pantouflage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Delibere ANAC n. 328 e 329 del 30.07.2025 (GU n. 192/2025)</w:t>
            </w:r>
          </w:p>
        </w:tc>
        <w:tc>
          <w:tcPr>
            <w:tcW w:type="dxa" w:w="40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Revisione dei regolamenti di vigilanza; nuova procedura di segnalazione informatizzata; ordine di priorita delle segnalazioni; disciplina segnalazioni anonime</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Linee guida n. 1 sul pantouflage</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Delibera ANAC n. 493 del 25.09.2024</w:t>
            </w:r>
          </w:p>
        </w:tc>
        <w:tc>
          <w:tcPr>
            <w:tcW w:type="dxa" w:w="40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Prima linea guida organica sul divieto triennale di attivita presso privati; definizione di potere autoritativo e negoziale; conseguenze sanzionatorie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Relazione annuale RPCT - Scheda 2024</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Comunicato Presidente ANAC del 29.10.2024</w:t>
            </w:r>
          </w:p>
        </w:tc>
        <w:tc>
          <w:tcPr>
            <w:tcW w:type="dxa" w:w="40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Scheda per la relazione annuale 2024; istruzioni per la compilazione; termine differito al 31 gennaio 2025; piattaforma digitale per generazione automatica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Attestazioni OIV 2025</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Comunicato ANAC - scadenza 15.07.2025</w:t>
            </w:r>
          </w:p>
        </w:tc>
        <w:tc>
          <w:tcPr>
            <w:tcW w:type="dxa" w:w="40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Compilazione e trasmissione tramite applicativo web ANAC; attestazione assolvimento obblighi di trasparenza; monitoraggio supplementare OIV entro il 30.11</w:t>
            </w:r>
          </w:p>
        </w:tc>
      </w:tr>
    </w:tbl>
    <w:p>
      <w:pPr>
        <w:spacing w:before="200" w:after="0"/>
      </w:pPr>
      <w:r>
        <w:t xml:space="preserve"/>
      </w:r>
    </w:p>
    <w:p>
      <w:pPr>
        <w:shd w:fill="1F4E79" w:val="clear"/>
        <w:spacing w:before="280" w:after="100"/>
      </w:pPr>
      <w:r>
        <w:rPr>
          <w:rFonts w:ascii="Arial" w:cs="Arial" w:eastAsia="Arial" w:hAnsi="Arial"/>
          <w:b/>
          <w:bCs/>
          <w:color w:val="FFFFFF"/>
          <w:sz w:val="26"/>
          <w:szCs w:val="26"/>
        </w:rPr>
        <w:t xml:space="preserve">  SEZIONE 3.3 | LABORATORIO PRATICO: ANALISI E REDAZIONE PTPCT/PIAO  (1 ora)</w:t>
      </w:r>
    </w:p>
    <w:p>
      <w:pPr>
        <w:spacing w:before="100" w:after="0"/>
      </w:pPr>
      <w:r>
        <w:t xml:space="preserve"/>
      </w:r>
    </w:p>
    <w:p>
      <w:pPr>
        <w:spacing w:before="80" w:after="120" w:line="276"/>
        <w:jc w:val="both"/>
      </w:pPr>
      <w:r>
        <w:rPr>
          <w:rFonts w:ascii="Arial" w:cs="Arial" w:eastAsia="Arial" w:hAnsi="Arial"/>
          <w:b w:val="false"/>
          <w:bCs w:val="false"/>
          <w:i w:val="false"/>
          <w:iCs w:val="false"/>
          <w:color w:val="000000"/>
          <w:sz w:val="22"/>
          <w:szCs w:val="22"/>
        </w:rPr>
        <w:t xml:space="preserve">Il laboratorio pratico rappresenta il momento di sintesi del Modulo 3. I partecipanti, suddivisi in gruppi di lavoro omogenei per tipologia di amministrazione di appartenenza, lavoreranno su materiali reali per applicare concretamente le metodologie apprese.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200"/>
        <w:gridCol w:w="3319"/>
        <w:gridCol w:w="5119"/>
      </w:tblGrid>
      <w:tr>
        <w:trPr>
          <w:tblHeader/>
        </w:trP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Fase</w:t>
            </w:r>
          </w:p>
        </w:tc>
        <w:tc>
          <w:tcPr>
            <w:tcW w:type="dxa" w:w="3319"/>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Attivita</w:t>
            </w:r>
          </w:p>
        </w:tc>
        <w:tc>
          <w:tcPr>
            <w:tcW w:type="dxa" w:w="5119"/>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Risultato atteso</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15 min</w:t>
            </w:r>
          </w:p>
        </w:tc>
        <w:tc>
          <w:tcPr>
            <w:tcW w:type="dxa" w:w="33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Analisi di un PTPCT/PIAO reale fornito dal docente: identificazione dei punti di forza e delle criticita rispetto alle indicazioni del PNA 2025</w:t>
            </w:r>
          </w:p>
        </w:tc>
        <w:tc>
          <w:tcPr>
            <w:tcW w:type="dxa" w:w="51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Griglia di valutazione compilata; identificazione delle aree di miglioramento</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20 min</w:t>
            </w:r>
          </w:p>
        </w:tc>
        <w:tc>
          <w:tcPr>
            <w:tcW w:type="dxa" w:w="33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Esercitazione sulla mappatura di un processo specifico (es. procedura di affidamento diretto): identificazione delle fasi, degli attori, degli eventi rischiosi potenziali</w:t>
            </w:r>
          </w:p>
        </w:tc>
        <w:tc>
          <w:tcPr>
            <w:tcW w:type="dxa" w:w="51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Scheda di mappatura del processo compilata; registro degli eventi rischiosi</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15 min</w:t>
            </w:r>
          </w:p>
        </w:tc>
        <w:tc>
          <w:tcPr>
            <w:tcW w:type="dxa" w:w="33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Individuazione delle misure di trattamento del rischio piu adeguate per gli eventi rischiosi identificati, con assegnazione di responsabilita e scadenze</w:t>
            </w:r>
          </w:p>
        </w:tc>
        <w:tc>
          <w:tcPr>
            <w:tcW w:type="dxa" w:w="51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Tabella misure-responsabili-scadenze; indicatori di monitoraggio proposti</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10 min</w:t>
            </w:r>
          </w:p>
        </w:tc>
        <w:tc>
          <w:tcPr>
            <w:tcW w:type="dxa" w:w="33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Presentazione in plenaria e feedback del docente; discussione collegiale sulle soluzioni proposte</w:t>
            </w:r>
          </w:p>
        </w:tc>
        <w:tc>
          <w:tcPr>
            <w:tcW w:type="dxa" w:w="51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Condivisione delle buone pratiche; chiarimento dei dubbi interpretativi</w:t>
            </w:r>
          </w:p>
        </w:tc>
      </w:tr>
    </w:tbl>
    <w:p>
      <w:pPr>
        <w:spacing w:before="120" w:after="0"/>
      </w:pPr>
      <w:r>
        <w:t xml:space="preserve"/>
      </w:r>
    </w:p>
    <w:p>
      <w:pPr>
        <w:pBdr>
          <w:bottom w:val="single" w:color="2E75B6" w:sz="4"/>
        </w:pBdr>
        <w:spacing w:before="200" w:after="80"/>
      </w:pPr>
      <w:r>
        <w:rPr>
          <w:rFonts w:ascii="Arial" w:cs="Arial" w:eastAsia="Arial" w:hAnsi="Arial"/>
          <w:b/>
          <w:bCs/>
          <w:color w:val="1F4E79"/>
          <w:sz w:val="24"/>
          <w:szCs w:val="24"/>
        </w:rPr>
        <w:t xml:space="preserve">Casi di studio disponibili per il laboratorio</w:t>
      </w:r>
    </w:p>
    <w:p>
      <w:pPr>
        <w:spacing w:before="80" w:after="80" w:line="276"/>
        <w:jc w:val="both"/>
      </w:pPr>
      <w:r>
        <w:rPr>
          <w:rFonts w:ascii="Arial" w:cs="Arial" w:eastAsia="Arial" w:hAnsi="Arial"/>
          <w:b w:val="false"/>
          <w:bCs w:val="false"/>
          <w:i w:val="false"/>
          <w:iCs w:val="false"/>
          <w:color w:val="000000"/>
          <w:sz w:val="22"/>
          <w:szCs w:val="22"/>
        </w:rPr>
        <w:t xml:space="preserve">Il docente selezionera, tra i seguenti, i casi piu adatti alla composizione del gruppo:</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rPr>
          <w:tblHeader/>
        </w:trPr>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Caso</w:t>
            </w:r>
          </w:p>
        </w:tc>
        <w:tc>
          <w:tcPr>
            <w:tcW w:type="dxa" w:w="763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Descrizione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Caso A - Comune</w:t>
            </w:r>
          </w:p>
        </w:tc>
        <w:tc>
          <w:tcPr>
            <w:tcW w:type="dxa" w:w="7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Analisi della sottosezione anticorruzione del PIAO di un Comune di medie dimensioni: verifica della completezza degli elementi previsti dal PNA 2025, della qualita della mappatura dei processi e dell'adeguatezza delle misure programmate</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Caso B - Azienda Sanitaria</w:t>
            </w:r>
          </w:p>
        </w:tc>
        <w:tc>
          <w:tcPr>
            <w:tcW w:type="dxa" w:w="7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Mappatura del processo di acquisto di dispositivi medici: identificazione delle fasi critiche (programmazione, specificazione tecnica, selezione del fornitore, collaudo), degli eventi rischiosi e delle misure di presidio</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Caso C - Ente pubblico</w:t>
            </w:r>
          </w:p>
        </w:tc>
        <w:tc>
          <w:tcPr>
            <w:tcW w:type="dxa" w:w="7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Identificazione delle cause di inconferibilita e incompatibilita in un conferimento di incarico dirigenziale; verifica delle dichiarazioni obbligatorie; procedure di astensione per conflitto di interessi</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Caso D - PA Centrale</w:t>
            </w:r>
          </w:p>
        </w:tc>
        <w:tc>
          <w:tcPr>
            <w:tcW w:type="dxa" w:w="7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Gestione di una segnalazione whistleblowing pervenuta al RPCT: applicazione delle Linee guida ANAC n. 1/2025; verifica della riservatezza del segnalante; iter istruttorio; misure anti-ritorsione</w:t>
            </w:r>
          </w:p>
        </w:tc>
      </w:tr>
    </w:tbl>
    <w:p>
      <w:pPr>
        <w:spacing w:before="160" w:after="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75B6" w:sz="4"/>
              <w:left w:val="none" w:color="FFFFFF" w:sz="0"/>
              <w:bottom w:val="single" w:color="2E75B6" w:sz="4"/>
              <w:right w:val="none" w:color="FFFFFF" w:sz="0"/>
            </w:tcBorders>
            <w:shd w:fill="F2F2F2" w:val="clear"/>
            <w:tcMar>
              <w:top w:type="dxa" w:w="160"/>
              <w:left w:type="dxa" w:w="200"/>
              <w:bottom w:type="dxa" w:w="160"/>
              <w:right w:type="dxa" w:w="200"/>
            </w:tcMar>
          </w:tcPr>
          <w:p>
            <w:pPr>
              <w:spacing w:before="40" w:after="100"/>
            </w:pPr>
            <w:r>
              <w:rPr>
                <w:rFonts w:ascii="Arial" w:cs="Arial" w:eastAsia="Arial" w:hAnsi="Arial"/>
                <w:b/>
                <w:bCs/>
                <w:color w:val="1F4E79"/>
                <w:sz w:val="24"/>
                <w:szCs w:val="24"/>
              </w:rPr>
              <w:t xml:space="preserve">OBIETTIVI FORMATIVI DEL MODULO 3</w:t>
            </w:r>
          </w:p>
          <w:p>
            <w:pPr>
              <w:spacing w:before="20" w:after="60"/>
            </w:pPr>
            <w:r>
              <w:rPr>
                <w:rFonts w:ascii="Arial" w:cs="Arial" w:eastAsia="Arial" w:hAnsi="Arial"/>
                <w:color w:val="000000"/>
                <w:sz w:val="21"/>
                <w:szCs w:val="21"/>
              </w:rPr>
              <w:t xml:space="preserve">Al termine del modulo, il partecipante sara in grado di:</w:t>
            </w:r>
          </w:p>
          <w:p>
            <w:pPr>
              <w:pStyle w:val="ListParagraph"/>
              <w:numPr>
                <w:ilvl w:val="0"/>
                <w:numId w:val="2"/>
              </w:numPr>
              <w:spacing w:before="60" w:after="60"/>
            </w:pPr>
            <w:r>
              <w:rPr>
                <w:rFonts w:ascii="Arial" w:cs="Arial" w:eastAsia="Arial" w:hAnsi="Arial"/>
                <w:color w:val="000000"/>
                <w:sz w:val="22"/>
                <w:szCs w:val="22"/>
              </w:rPr>
              <w:t xml:space="preserve">Conoscere la struttura istituzionale del sistema anticorruzione e il ruolo di ciascun soggetto</w:t>
            </w:r>
          </w:p>
          <w:p>
            <w:pPr>
              <w:pStyle w:val="ListParagraph"/>
              <w:numPr>
                <w:ilvl w:val="0"/>
                <w:numId w:val="2"/>
              </w:numPr>
              <w:spacing w:before="60" w:after="60"/>
            </w:pPr>
            <w:r>
              <w:rPr>
                <w:rFonts w:ascii="Arial" w:cs="Arial" w:eastAsia="Arial" w:hAnsi="Arial"/>
                <w:color w:val="000000"/>
                <w:sz w:val="22"/>
                <w:szCs w:val="22"/>
              </w:rPr>
              <w:t xml:space="preserve">Comprendere i compiti, le responsabilita e le garanzie del RPCT, anche alla luce delle indicazioni ANAC piu recenti</w:t>
            </w:r>
          </w:p>
          <w:p>
            <w:pPr>
              <w:pStyle w:val="ListParagraph"/>
              <w:numPr>
                <w:ilvl w:val="0"/>
                <w:numId w:val="2"/>
              </w:numPr>
              <w:spacing w:before="60" w:after="60"/>
            </w:pPr>
            <w:r>
              <w:rPr>
                <w:rFonts w:ascii="Arial" w:cs="Arial" w:eastAsia="Arial" w:hAnsi="Arial"/>
                <w:color w:val="000000"/>
                <w:sz w:val="22"/>
                <w:szCs w:val="22"/>
              </w:rPr>
              <w:t xml:space="preserve">Distinguere il PTPCT tradizionale dalla sottosezione del PIAO, identificando i soggetti tenuti a ciascuno strumento</w:t>
            </w:r>
          </w:p>
          <w:p>
            <w:pPr>
              <w:pStyle w:val="ListParagraph"/>
              <w:numPr>
                <w:ilvl w:val="0"/>
                <w:numId w:val="2"/>
              </w:numPr>
              <w:spacing w:before="60" w:after="60"/>
            </w:pPr>
            <w:r>
              <w:rPr>
                <w:rFonts w:ascii="Arial" w:cs="Arial" w:eastAsia="Arial" w:hAnsi="Arial"/>
                <w:color w:val="000000"/>
                <w:sz w:val="22"/>
                <w:szCs w:val="22"/>
              </w:rPr>
              <w:t xml:space="preserve">Applicare la metodologia di analisi del contesto e di mappatura dei processi prevista dal PNA 2025</w:t>
            </w:r>
          </w:p>
          <w:p>
            <w:pPr>
              <w:pStyle w:val="ListParagraph"/>
              <w:numPr>
                <w:ilvl w:val="0"/>
                <w:numId w:val="2"/>
              </w:numPr>
              <w:spacing w:before="60" w:after="60"/>
            </w:pPr>
            <w:r>
              <w:rPr>
                <w:rFonts w:ascii="Arial" w:cs="Arial" w:eastAsia="Arial" w:hAnsi="Arial"/>
                <w:color w:val="000000"/>
                <w:sz w:val="22"/>
                <w:szCs w:val="22"/>
              </w:rPr>
              <w:t xml:space="preserve">Elaborare o valutare criticamente un piano di prevenzione della corruzione e della trasparenza</w:t>
            </w:r>
          </w:p>
          <w:p>
            <w:pPr>
              <w:pStyle w:val="ListParagraph"/>
              <w:numPr>
                <w:ilvl w:val="0"/>
                <w:numId w:val="2"/>
              </w:numPr>
              <w:spacing w:before="60" w:after="60"/>
            </w:pPr>
            <w:r>
              <w:rPr>
                <w:rFonts w:ascii="Arial" w:cs="Arial" w:eastAsia="Arial" w:hAnsi="Arial"/>
                <w:color w:val="000000"/>
                <w:sz w:val="22"/>
                <w:szCs w:val="22"/>
              </w:rPr>
              <w:t xml:space="preserve">Conoscere le principali pubblicazioni ANAC del 2024-2026 rilevanti per la governance anticorruzione</w:t>
            </w:r>
          </w:p>
          <w:p>
            <w:pPr>
              <w:pStyle w:val="ListParagraph"/>
              <w:numPr>
                <w:ilvl w:val="0"/>
                <w:numId w:val="2"/>
              </w:numPr>
              <w:spacing w:before="60" w:after="60"/>
            </w:pPr>
            <w:r>
              <w:rPr>
                <w:rFonts w:ascii="Arial" w:cs="Arial" w:eastAsia="Arial" w:hAnsi="Arial"/>
                <w:color w:val="000000"/>
                <w:sz w:val="22"/>
                <w:szCs w:val="22"/>
              </w:rPr>
              <w:t xml:space="preserve">Gestire correttamente i flussi informativi verso il RPCT e collaborare all'aggiornamento annuale del piano</w:t>
            </w:r>
          </w:p>
        </w:tc>
      </w:tr>
    </w:tbl>
    <w:p>
      <w:pPr>
        <w:spacing w:before="140" w:after="0"/>
      </w:pPr>
      <w:r>
        <w:t xml:space="preserve"/>
      </w:r>
    </w:p>
    <w:p>
      <w:pPr>
        <w:pBdr>
          <w:top w:val="single" w:color="D9D9D9" w:sz="2"/>
        </w:pBdr>
        <w:spacing w:before="40" w:after="40"/>
      </w:pPr>
      <w:r>
        <w:rPr>
          <w:rFonts w:ascii="Arial" w:cs="Arial" w:eastAsia="Arial" w:hAnsi="Arial"/>
          <w:b/>
          <w:bCs/>
          <w:color w:val="2E75B6"/>
          <w:sz w:val="20"/>
          <w:szCs w:val="20"/>
        </w:rPr>
        <w:t xml:space="preserve">Riferimenti normativi e documentali</w:t>
      </w:r>
    </w:p>
    <w:p>
      <w:pPr>
        <w:spacing w:before="40" w:after="40"/>
      </w:pPr>
      <w:r>
        <w:rPr>
          <w:rFonts w:ascii="Arial" w:cs="Arial" w:eastAsia="Arial" w:hAnsi="Arial"/>
          <w:color w:val="555555"/>
          <w:sz w:val="17"/>
          <w:szCs w:val="17"/>
        </w:rPr>
        <w:t xml:space="preserve">L. 6 novembre 2012, n. 190 | D.Lgs. 14 marzo 2013, n. 33 | D.Lgs. 8 aprile 2013, n. 39 | D.Lgs. 25 maggio 2016, n. 97 | D.L. 9 giugno 2021, n. 80 (conv. L. 113/2021) - PIAO | D.Lgs. 10 marzo 2023, n. 24 - Whistleblowing</w:t>
      </w:r>
    </w:p>
    <w:p>
      <w:pPr>
        <w:spacing w:before="20" w:after="40"/>
      </w:pPr>
      <w:r>
        <w:rPr>
          <w:rFonts w:ascii="Arial" w:cs="Arial" w:eastAsia="Arial" w:hAnsi="Arial"/>
          <w:color w:val="555555"/>
          <w:sz w:val="17"/>
          <w:szCs w:val="17"/>
        </w:rPr>
        <w:t xml:space="preserve">Delibera ANAC n. 19/2026 (PNA 2025) | Delibera n. 31/2025 (Agg. 2024 PNA) | Delibera n. 478/2025 (LG Whistleblowing canali interni) | Delibera n. 479/2025 (LG segnalazioni esterne) | Delibere n. 328 e 329/2025 (Inconf./Incomp./Pantouflage) | Delibera n. 493/2024 (LG Pantouflage)</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2"/>
      </w:pBdr>
      <w:tabs>
        <w:tab w:val="right" w:pos="9026"/>
      </w:tabs>
      <w:spacing w:before="80" w:after="0"/>
    </w:pPr>
    <w:r>
      <w:rPr>
        <w:rFonts w:ascii="Arial" w:cs="Arial" w:eastAsia="Arial" w:hAnsi="Arial"/>
        <w:color w:val="888888"/>
        <w:sz w:val="16"/>
        <w:szCs w:val="16"/>
      </w:rPr>
      <w:t xml:space="preserve">Formazione per Dirigenti della Pubblica Amministrazione | 30 ore</w:t>
    </w:r>
    <w:r>
      <w:rPr>
        <w:rFonts w:ascii="Arial" w:cs="Arial" w:eastAsia="Arial" w:hAnsi="Arial"/>
        <w:sz w:val="16"/>
        <w:szCs w:val="16"/>
      </w:rPr>
      <w:t xml:space="preserve">	</w:t>
    </w:r>
    <w:r>
      <w:rPr>
        <w:rFonts w:ascii="Arial" w:cs="Arial" w:eastAsia="Arial" w:hAnsi="Arial"/>
        <w:color w:val="888888"/>
        <w:sz w:val="16"/>
        <w:szCs w:val="16"/>
      </w:rPr>
      <w:t xml:space="preserve">|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pBdr>
      <w:tabs>
        <w:tab w:val="right" w:pos="9026"/>
      </w:tabs>
      <w:spacing w:before="0" w:after="100"/>
    </w:pPr>
    <w:r>
      <w:rPr>
        <w:rFonts w:ascii="Arial" w:cs="Arial" w:eastAsia="Arial" w:hAnsi="Arial"/>
        <w:color w:val="2E75B6"/>
        <w:sz w:val="18"/>
        <w:szCs w:val="18"/>
      </w:rPr>
      <w:t xml:space="preserve">MODULO 3 | Organizzazione e Governance Anticorruzione</w:t>
    </w:r>
    <w:r>
      <w:rPr>
        <w:rFonts w:ascii="Arial" w:cs="Arial" w:eastAsia="Arial" w:hAnsi="Arial"/>
        <w:sz w:val="18"/>
        <w:szCs w:val="18"/>
      </w:rPr>
      <w:t xml:space="preserve">	</w:t>
    </w:r>
    <w:r>
      <w:rPr>
        <w:rFonts w:ascii="Arial" w:cs="Arial" w:eastAsia="Arial" w:hAnsi="Arial"/>
        <w:color w:val="888888"/>
        <w:sz w:val="18"/>
        <w:szCs w:val="18"/>
      </w:rPr>
      <w:t xml:space="preserve">Corso Anticorruzione e Trasparenza nella 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120"/>
      <w:outlineLvl w:val="0"/>
    </w:pPr>
    <w:rPr>
      <w:rFonts w:ascii="Arial" w:cs="Arial" w:eastAsia="Arial" w:hAnsi="Arial"/>
      <w:b/>
      <w:bCs/>
      <w:color w:val="1F4E79"/>
      <w:sz w:val="36"/>
      <w:szCs w:val="36"/>
    </w:rPr>
  </w:style>
  <w:style w:type="paragraph" w:styleId="Heading2">
    <w:name w:val="Heading 2"/>
    <w:basedOn w:val="Normal"/>
    <w:next w:val="Normal"/>
    <w:qFormat/>
    <w:pPr>
      <w:spacing w:before="240" w:after="100"/>
      <w:outlineLvl w:val="1"/>
    </w:pPr>
    <w:rPr>
      <w:rFonts w:ascii="Arial" w:cs="Arial" w:eastAsia="Arial" w:hAnsi="Arial"/>
      <w:b/>
      <w:bCs/>
      <w:color w:val="2E75B6"/>
      <w:sz w:val="28"/>
      <w:szCs w:val="28"/>
    </w:rPr>
  </w:style>
  <w:style w:type="paragraph" w:styleId="Heading3">
    <w:name w:val="Heading 3"/>
    <w:basedOn w:val="Normal"/>
    <w:next w:val="Normal"/>
    <w:qFormat/>
    <w:pPr>
      <w:spacing w:before="180" w:after="80"/>
      <w:outlineLvl w:val="2"/>
    </w:pPr>
    <w:rPr>
      <w:rFonts w:ascii="Arial" w:cs="Arial" w:eastAsia="Arial" w:hAnsi="Arial"/>
      <w:b/>
      <w:bCs/>
      <w:color w:val="C55A1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2026-02-22T18:57:57.763Z</dcterms:created>
  <dcterms:modified xsi:type="dcterms:W3CDTF">2026-02-22T18:57:57.764Z</dcterms:modified>
</cp:coreProperties>
</file>

<file path=docProps/custom.xml><?xml version="1.0" encoding="utf-8"?>
<Properties xmlns="http://schemas.openxmlformats.org/officeDocument/2006/custom-properties" xmlns:vt="http://schemas.openxmlformats.org/officeDocument/2006/docPropsVTypes"/>
</file>